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E514" w14:textId="07AC9036" w:rsidR="005F65F3" w:rsidRDefault="00165D6C" w:rsidP="00165D6C">
      <w:pPr>
        <w:spacing w:line="276" w:lineRule="auto"/>
        <w:rPr>
          <w:rFonts w:ascii="Times New Roman" w:hAnsi="Times New Roman" w:cs="Times New Roman"/>
          <w:b/>
          <w:bCs/>
          <w:color w:val="000000" w:themeColor="text1"/>
          <w:sz w:val="6"/>
          <w:szCs w:val="6"/>
          <w:u w:val="single"/>
        </w:rPr>
      </w:pPr>
      <w:bookmarkStart w:id="0" w:name="_GoBack"/>
      <w:bookmarkEnd w:id="0"/>
      <w:r>
        <w:rPr>
          <w:noProof/>
        </w:rPr>
        <w:drawing>
          <wp:anchor distT="0" distB="0" distL="114300" distR="114300" simplePos="0" relativeHeight="251659264" behindDoc="1" locked="0" layoutInCell="1" allowOverlap="1" wp14:anchorId="02251C12" wp14:editId="48910890">
            <wp:simplePos x="0" y="0"/>
            <wp:positionH relativeFrom="column">
              <wp:posOffset>-280035</wp:posOffset>
            </wp:positionH>
            <wp:positionV relativeFrom="paragraph">
              <wp:posOffset>-408305</wp:posOffset>
            </wp:positionV>
            <wp:extent cx="5342890" cy="1145540"/>
            <wp:effectExtent l="0" t="0" r="0" b="0"/>
            <wp:wrapTight wrapText="bothSides">
              <wp:wrapPolygon edited="0">
                <wp:start x="1232" y="0"/>
                <wp:lineTo x="693" y="718"/>
                <wp:lineTo x="0" y="3951"/>
                <wp:lineTo x="0" y="10058"/>
                <wp:lineTo x="154" y="15086"/>
                <wp:lineTo x="3466" y="17242"/>
                <wp:lineTo x="8549" y="17242"/>
                <wp:lineTo x="7855" y="18678"/>
                <wp:lineTo x="7470" y="20115"/>
                <wp:lineTo x="7470" y="21193"/>
                <wp:lineTo x="18483" y="21193"/>
                <wp:lineTo x="18560" y="20834"/>
                <wp:lineTo x="18329" y="19756"/>
                <wp:lineTo x="17405" y="17242"/>
                <wp:lineTo x="17559" y="15446"/>
                <wp:lineTo x="17174" y="14727"/>
                <wp:lineTo x="14402" y="11494"/>
                <wp:lineTo x="21487" y="10417"/>
                <wp:lineTo x="21487" y="6466"/>
                <wp:lineTo x="20255" y="5388"/>
                <wp:lineTo x="2002" y="0"/>
                <wp:lineTo x="123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universit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2890" cy="1145540"/>
                    </a:xfrm>
                    <a:prstGeom prst="rect">
                      <a:avLst/>
                    </a:prstGeom>
                  </pic:spPr>
                </pic:pic>
              </a:graphicData>
            </a:graphic>
            <wp14:sizeRelH relativeFrom="page">
              <wp14:pctWidth>0</wp14:pctWidth>
            </wp14:sizeRelH>
            <wp14:sizeRelV relativeFrom="page">
              <wp14:pctHeight>0</wp14:pctHeight>
            </wp14:sizeRelV>
          </wp:anchor>
        </w:drawing>
      </w:r>
    </w:p>
    <w:p w14:paraId="2CAA85AC" w14:textId="77777777" w:rsidR="00165D6C" w:rsidRPr="00422DC2" w:rsidRDefault="00165D6C" w:rsidP="00165D6C">
      <w:pPr>
        <w:spacing w:line="276" w:lineRule="auto"/>
        <w:rPr>
          <w:rFonts w:ascii="Times New Roman" w:hAnsi="Times New Roman" w:cs="Times New Roman"/>
          <w:b/>
          <w:bCs/>
          <w:color w:val="000000" w:themeColor="text1"/>
          <w:sz w:val="6"/>
          <w:szCs w:val="6"/>
          <w:u w:val="single"/>
        </w:rPr>
      </w:pPr>
    </w:p>
    <w:p w14:paraId="6CE7C0F3" w14:textId="77777777" w:rsidR="00165D6C" w:rsidRDefault="00165D6C" w:rsidP="00165D6C">
      <w:pPr>
        <w:spacing w:line="276" w:lineRule="auto"/>
        <w:jc w:val="center"/>
        <w:rPr>
          <w:rFonts w:ascii="Times New Roman" w:hAnsi="Times New Roman" w:cs="Times New Roman"/>
          <w:b/>
          <w:bCs/>
          <w:color w:val="000000" w:themeColor="text1"/>
          <w:sz w:val="24"/>
          <w:szCs w:val="24"/>
          <w:u w:val="single"/>
        </w:rPr>
      </w:pPr>
    </w:p>
    <w:p w14:paraId="11E20B3D" w14:textId="77777777" w:rsidR="00165D6C" w:rsidRDefault="00165D6C" w:rsidP="00165D6C">
      <w:pPr>
        <w:spacing w:line="276" w:lineRule="auto"/>
        <w:jc w:val="center"/>
        <w:rPr>
          <w:rFonts w:ascii="Times New Roman" w:hAnsi="Times New Roman" w:cs="Times New Roman"/>
          <w:b/>
          <w:bCs/>
          <w:color w:val="000000" w:themeColor="text1"/>
          <w:sz w:val="24"/>
          <w:szCs w:val="24"/>
          <w:u w:val="single"/>
        </w:rPr>
      </w:pPr>
    </w:p>
    <w:p w14:paraId="27D5D849" w14:textId="77777777" w:rsidR="00165D6C" w:rsidRDefault="00165D6C" w:rsidP="00165D6C">
      <w:pPr>
        <w:spacing w:after="0" w:line="276" w:lineRule="auto"/>
        <w:jc w:val="center"/>
        <w:rPr>
          <w:rFonts w:ascii="Times New Roman" w:hAnsi="Times New Roman" w:cs="Times New Roman"/>
          <w:b/>
          <w:bCs/>
          <w:color w:val="000000" w:themeColor="text1"/>
          <w:sz w:val="24"/>
          <w:szCs w:val="24"/>
          <w:u w:val="single"/>
        </w:rPr>
      </w:pPr>
    </w:p>
    <w:p w14:paraId="29D44850" w14:textId="7CE1B338" w:rsidR="00AF69E6" w:rsidRDefault="00AF69E6" w:rsidP="00165D6C">
      <w:pPr>
        <w:spacing w:after="0" w:line="276" w:lineRule="auto"/>
        <w:jc w:val="center"/>
        <w:rPr>
          <w:rFonts w:ascii="Times New Roman" w:hAnsi="Times New Roman" w:cs="Times New Roman"/>
          <w:b/>
          <w:bCs/>
          <w:color w:val="000000" w:themeColor="text1"/>
          <w:sz w:val="24"/>
          <w:szCs w:val="24"/>
          <w:u w:val="single"/>
        </w:rPr>
      </w:pPr>
      <w:r w:rsidRPr="00422DC2">
        <w:rPr>
          <w:rFonts w:ascii="Times New Roman" w:hAnsi="Times New Roman" w:cs="Times New Roman"/>
          <w:b/>
          <w:bCs/>
          <w:color w:val="000000" w:themeColor="text1"/>
          <w:sz w:val="24"/>
          <w:szCs w:val="24"/>
          <w:u w:val="single"/>
        </w:rPr>
        <w:t>POLICY FOR CONSULTANCY &amp; EXTERNAL PROFESSIONAL WORK</w:t>
      </w:r>
    </w:p>
    <w:p w14:paraId="7F026A61" w14:textId="77777777" w:rsidR="00165D6C" w:rsidRPr="00422DC2" w:rsidRDefault="00165D6C" w:rsidP="00165D6C">
      <w:pPr>
        <w:spacing w:after="0" w:line="276" w:lineRule="auto"/>
        <w:jc w:val="center"/>
        <w:rPr>
          <w:rFonts w:ascii="Times New Roman" w:hAnsi="Times New Roman" w:cs="Times New Roman"/>
          <w:color w:val="000000" w:themeColor="text1"/>
          <w:sz w:val="20"/>
          <w:szCs w:val="20"/>
          <w:u w:val="single"/>
        </w:rPr>
      </w:pPr>
    </w:p>
    <w:p w14:paraId="79A7BF3B" w14:textId="77777777" w:rsidR="006366EC" w:rsidRPr="002E1C3B" w:rsidRDefault="006366EC" w:rsidP="00165D6C">
      <w:pPr>
        <w:pStyle w:val="Heading1"/>
        <w:spacing w:before="0" w:line="276" w:lineRule="auto"/>
        <w:rPr>
          <w:rStyle w:val="fontstyle01"/>
          <w:rFonts w:ascii="Times New Roman" w:hAnsi="Times New Roman" w:cs="Times New Roman"/>
          <w:bCs w:val="0"/>
          <w:color w:val="000000" w:themeColor="text1"/>
          <w:sz w:val="28"/>
          <w:szCs w:val="32"/>
        </w:rPr>
      </w:pPr>
      <w:r w:rsidRPr="002E1C3B">
        <w:rPr>
          <w:rStyle w:val="fontstyle01"/>
          <w:rFonts w:ascii="Times New Roman" w:hAnsi="Times New Roman" w:cs="Times New Roman"/>
          <w:bCs w:val="0"/>
          <w:color w:val="000000" w:themeColor="text1"/>
          <w:sz w:val="28"/>
          <w:szCs w:val="32"/>
        </w:rPr>
        <w:t>Purpose</w:t>
      </w:r>
    </w:p>
    <w:p w14:paraId="1AB804ED" w14:textId="77777777" w:rsidR="00165D6C" w:rsidRPr="00165D6C" w:rsidRDefault="00165D6C" w:rsidP="00165D6C">
      <w:pPr>
        <w:spacing w:after="0" w:line="276" w:lineRule="auto"/>
      </w:pPr>
    </w:p>
    <w:p w14:paraId="2E42E7BC" w14:textId="2F017C53" w:rsidR="006366EC" w:rsidRDefault="006366EC" w:rsidP="00165D6C">
      <w:pPr>
        <w:pStyle w:val="Heading2"/>
        <w:spacing w:before="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 xml:space="preserve">The University comprehends the value of its </w:t>
      </w:r>
      <w:r w:rsidR="00DA5D6B" w:rsidRPr="00C17A28">
        <w:rPr>
          <w:rFonts w:ascii="Times New Roman" w:hAnsi="Times New Roman" w:cs="Times New Roman"/>
          <w:color w:val="000000" w:themeColor="text1"/>
          <w:sz w:val="24"/>
          <w:szCs w:val="24"/>
        </w:rPr>
        <w:t>faculty/staff</w:t>
      </w:r>
      <w:r w:rsidRPr="00C17A28">
        <w:rPr>
          <w:rFonts w:ascii="Times New Roman" w:hAnsi="Times New Roman" w:cs="Times New Roman"/>
          <w:color w:val="000000" w:themeColor="text1"/>
          <w:sz w:val="24"/>
          <w:szCs w:val="24"/>
        </w:rPr>
        <w:t xml:space="preserve"> undertaking consultancy for outside bodies. </w:t>
      </w:r>
      <w:r w:rsidR="00417F07" w:rsidRPr="00C17A28">
        <w:rPr>
          <w:rFonts w:ascii="Times New Roman" w:hAnsi="Times New Roman" w:cs="Times New Roman"/>
          <w:color w:val="000000" w:themeColor="text1"/>
          <w:sz w:val="24"/>
          <w:szCs w:val="24"/>
        </w:rPr>
        <w:t xml:space="preserve">Consultancy is an important channel </w:t>
      </w:r>
      <w:r w:rsidRPr="00C17A28">
        <w:rPr>
          <w:rFonts w:ascii="Times New Roman" w:hAnsi="Times New Roman" w:cs="Times New Roman"/>
          <w:color w:val="000000" w:themeColor="text1"/>
          <w:sz w:val="24"/>
          <w:szCs w:val="24"/>
        </w:rPr>
        <w:t xml:space="preserve">through which knowledge and expertise can flow to and from businesses and other external agencies and therefore contributes to the development of growing and productive relationships with these bodies.  </w:t>
      </w:r>
      <w:r w:rsidR="009A4D15" w:rsidRPr="00C17A28">
        <w:rPr>
          <w:rFonts w:ascii="Times New Roman" w:hAnsi="Times New Roman" w:cs="Times New Roman"/>
          <w:color w:val="000000" w:themeColor="text1"/>
          <w:sz w:val="24"/>
          <w:szCs w:val="24"/>
        </w:rPr>
        <w:t xml:space="preserve">Faculty/staff involved in design/supervision/consultancy role with industry will </w:t>
      </w:r>
      <w:r w:rsidR="00F705F8" w:rsidRPr="00C17A28">
        <w:rPr>
          <w:rFonts w:ascii="Times New Roman" w:hAnsi="Times New Roman" w:cs="Times New Roman"/>
          <w:color w:val="000000" w:themeColor="text1"/>
          <w:sz w:val="24"/>
          <w:szCs w:val="24"/>
        </w:rPr>
        <w:t xml:space="preserve">ensure that the university gets due benefits as potential outcomes of the </w:t>
      </w:r>
      <w:r w:rsidR="002D0D51" w:rsidRPr="00C17A28">
        <w:rPr>
          <w:rFonts w:ascii="Times New Roman" w:hAnsi="Times New Roman" w:cs="Times New Roman"/>
          <w:color w:val="000000" w:themeColor="text1"/>
          <w:sz w:val="24"/>
          <w:szCs w:val="24"/>
        </w:rPr>
        <w:t>consultancy</w:t>
      </w:r>
      <w:r w:rsidR="00F705F8" w:rsidRPr="00C17A28">
        <w:rPr>
          <w:rFonts w:ascii="Times New Roman" w:hAnsi="Times New Roman" w:cs="Times New Roman"/>
          <w:color w:val="000000" w:themeColor="text1"/>
          <w:sz w:val="24"/>
          <w:szCs w:val="24"/>
        </w:rPr>
        <w:t xml:space="preserve"> such as:</w:t>
      </w:r>
    </w:p>
    <w:p w14:paraId="20A1AAFA" w14:textId="77777777" w:rsidR="00165D6C" w:rsidRPr="00165D6C" w:rsidRDefault="00165D6C" w:rsidP="00165D6C">
      <w:pPr>
        <w:spacing w:after="0" w:line="276" w:lineRule="auto"/>
      </w:pPr>
    </w:p>
    <w:p w14:paraId="0A28FABB" w14:textId="058839A5" w:rsidR="00C17A28" w:rsidRPr="00C17A28" w:rsidRDefault="00C17A28" w:rsidP="00165D6C">
      <w:pPr>
        <w:pStyle w:val="ListParagraph"/>
        <w:numPr>
          <w:ilvl w:val="0"/>
          <w:numId w:val="30"/>
        </w:numPr>
        <w:spacing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Increased level of research capacity, primarily more PhD students and related activity</w:t>
      </w:r>
    </w:p>
    <w:p w14:paraId="042FB03F" w14:textId="2E5EE94D" w:rsidR="00F705F8" w:rsidRPr="00C17A28" w:rsidRDefault="00F705F8" w:rsidP="00165D6C">
      <w:pPr>
        <w:pStyle w:val="ListParagraph"/>
        <w:numPr>
          <w:ilvl w:val="0"/>
          <w:numId w:val="30"/>
        </w:numPr>
        <w:spacing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Applied Research</w:t>
      </w:r>
      <w:r w:rsidR="002D0D51" w:rsidRPr="00C17A28">
        <w:rPr>
          <w:rFonts w:ascii="Times New Roman" w:eastAsiaTheme="majorEastAsia" w:hAnsi="Times New Roman" w:cs="Times New Roman"/>
          <w:color w:val="000000" w:themeColor="text1"/>
          <w:sz w:val="24"/>
          <w:szCs w:val="24"/>
        </w:rPr>
        <w:t xml:space="preserve"> at MS and PhD level</w:t>
      </w:r>
    </w:p>
    <w:p w14:paraId="30803737" w14:textId="53A6502E" w:rsidR="00F705F8" w:rsidRPr="00C17A28" w:rsidRDefault="00F705F8" w:rsidP="00165D6C">
      <w:pPr>
        <w:pStyle w:val="ListParagraph"/>
        <w:numPr>
          <w:ilvl w:val="0"/>
          <w:numId w:val="30"/>
        </w:numPr>
        <w:spacing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 xml:space="preserve">Increased </w:t>
      </w:r>
      <w:r w:rsidR="002D0D51" w:rsidRPr="00C17A28">
        <w:rPr>
          <w:rFonts w:ascii="Times New Roman" w:eastAsiaTheme="majorEastAsia" w:hAnsi="Times New Roman" w:cs="Times New Roman"/>
          <w:color w:val="000000" w:themeColor="text1"/>
          <w:sz w:val="24"/>
          <w:szCs w:val="24"/>
        </w:rPr>
        <w:t xml:space="preserve">Industry </w:t>
      </w:r>
      <w:r w:rsidRPr="00C17A28">
        <w:rPr>
          <w:rFonts w:ascii="Times New Roman" w:eastAsiaTheme="majorEastAsia" w:hAnsi="Times New Roman" w:cs="Times New Roman"/>
          <w:color w:val="000000" w:themeColor="text1"/>
          <w:sz w:val="24"/>
          <w:szCs w:val="24"/>
        </w:rPr>
        <w:t>engagement</w:t>
      </w:r>
    </w:p>
    <w:p w14:paraId="414E2333" w14:textId="391E1408" w:rsidR="002D0D51" w:rsidRPr="00C17A28" w:rsidRDefault="002D0D51" w:rsidP="00165D6C">
      <w:pPr>
        <w:pStyle w:val="ListParagraph"/>
        <w:numPr>
          <w:ilvl w:val="0"/>
          <w:numId w:val="30"/>
        </w:numPr>
        <w:spacing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Students Funded FYP’s</w:t>
      </w:r>
    </w:p>
    <w:p w14:paraId="7E7BE069" w14:textId="715D074A" w:rsidR="002D0D51" w:rsidRPr="00C17A28" w:rsidRDefault="00F705F8" w:rsidP="00165D6C">
      <w:pPr>
        <w:pStyle w:val="ListParagraph"/>
        <w:numPr>
          <w:ilvl w:val="0"/>
          <w:numId w:val="30"/>
        </w:numPr>
        <w:spacing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Student internships</w:t>
      </w:r>
    </w:p>
    <w:p w14:paraId="2541B923" w14:textId="2329EA20" w:rsidR="00F705F8" w:rsidRDefault="002D0D51" w:rsidP="00165D6C">
      <w:pPr>
        <w:pStyle w:val="ListParagraph"/>
        <w:numPr>
          <w:ilvl w:val="0"/>
          <w:numId w:val="30"/>
        </w:numPr>
        <w:spacing w:after="0" w:line="276" w:lineRule="auto"/>
        <w:rPr>
          <w:rFonts w:ascii="Times New Roman" w:eastAsiaTheme="majorEastAsia" w:hAnsi="Times New Roman" w:cs="Times New Roman"/>
          <w:color w:val="000000" w:themeColor="text1"/>
          <w:sz w:val="24"/>
          <w:szCs w:val="24"/>
        </w:rPr>
      </w:pPr>
      <w:r w:rsidRPr="00C17A28">
        <w:rPr>
          <w:rFonts w:ascii="Times New Roman" w:eastAsiaTheme="majorEastAsia" w:hAnsi="Times New Roman" w:cs="Times New Roman"/>
          <w:color w:val="000000" w:themeColor="text1"/>
          <w:sz w:val="24"/>
          <w:szCs w:val="24"/>
        </w:rPr>
        <w:t>Student Job Placements</w:t>
      </w:r>
    </w:p>
    <w:p w14:paraId="7528F91B" w14:textId="77777777" w:rsidR="00165D6C" w:rsidRPr="00C17A28" w:rsidRDefault="00165D6C" w:rsidP="00165D6C">
      <w:pPr>
        <w:pStyle w:val="ListParagraph"/>
        <w:spacing w:after="0" w:line="276" w:lineRule="auto"/>
        <w:ind w:left="936"/>
        <w:rPr>
          <w:rFonts w:ascii="Times New Roman" w:eastAsiaTheme="majorEastAsia" w:hAnsi="Times New Roman" w:cs="Times New Roman"/>
          <w:color w:val="000000" w:themeColor="text1"/>
          <w:sz w:val="24"/>
          <w:szCs w:val="24"/>
        </w:rPr>
      </w:pPr>
    </w:p>
    <w:p w14:paraId="35C83CF8" w14:textId="275029B2" w:rsidR="006366EC" w:rsidRDefault="006366EC" w:rsidP="00165D6C">
      <w:pPr>
        <w:pStyle w:val="Heading2"/>
        <w:spacing w:before="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 xml:space="preserve">This document defines procedures that are to be used for management of consultancy activities and service works, in a way which ensures these profits while protecting the interests of both University and its </w:t>
      </w:r>
      <w:r w:rsidR="000D1104" w:rsidRPr="00C17A28">
        <w:rPr>
          <w:rFonts w:ascii="Times New Roman" w:hAnsi="Times New Roman" w:cs="Times New Roman"/>
          <w:color w:val="000000" w:themeColor="text1"/>
          <w:sz w:val="24"/>
          <w:szCs w:val="24"/>
        </w:rPr>
        <w:t>faculty/</w:t>
      </w:r>
      <w:r w:rsidRPr="00C17A28">
        <w:rPr>
          <w:rFonts w:ascii="Times New Roman" w:hAnsi="Times New Roman" w:cs="Times New Roman"/>
          <w:color w:val="000000" w:themeColor="text1"/>
          <w:sz w:val="24"/>
          <w:szCs w:val="24"/>
        </w:rPr>
        <w:t>staff in a manner which reflects appropriate professional standards.</w:t>
      </w:r>
    </w:p>
    <w:p w14:paraId="3FE97B2B" w14:textId="77777777" w:rsidR="00165D6C" w:rsidRPr="00165D6C" w:rsidRDefault="00165D6C" w:rsidP="00165D6C">
      <w:pPr>
        <w:spacing w:after="0" w:line="276" w:lineRule="auto"/>
      </w:pPr>
    </w:p>
    <w:p w14:paraId="2208E8DD" w14:textId="5E1E70DA" w:rsidR="006366EC" w:rsidRDefault="006366EC" w:rsidP="00165D6C">
      <w:pPr>
        <w:pStyle w:val="Heading2"/>
        <w:spacing w:before="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 xml:space="preserve">This policy is </w:t>
      </w:r>
      <w:r w:rsidR="00417F07" w:rsidRPr="00C17A28">
        <w:rPr>
          <w:rFonts w:ascii="Times New Roman" w:hAnsi="Times New Roman" w:cs="Times New Roman"/>
          <w:color w:val="000000" w:themeColor="text1"/>
          <w:sz w:val="24"/>
          <w:szCs w:val="24"/>
        </w:rPr>
        <w:t>projected</w:t>
      </w:r>
      <w:r w:rsidRPr="00C17A28">
        <w:rPr>
          <w:rFonts w:ascii="Times New Roman" w:hAnsi="Times New Roman" w:cs="Times New Roman"/>
          <w:color w:val="000000" w:themeColor="text1"/>
          <w:sz w:val="24"/>
          <w:szCs w:val="24"/>
        </w:rPr>
        <w:t xml:space="preserve"> to provide the information required to undertake consultancy work in accordance with the University’s approved procedures</w:t>
      </w:r>
      <w:r w:rsidR="00F63957" w:rsidRPr="00C17A28">
        <w:rPr>
          <w:rFonts w:ascii="Times New Roman" w:hAnsi="Times New Roman" w:cs="Times New Roman"/>
          <w:color w:val="000000" w:themeColor="text1"/>
          <w:sz w:val="24"/>
          <w:szCs w:val="24"/>
        </w:rPr>
        <w:t>.</w:t>
      </w:r>
    </w:p>
    <w:p w14:paraId="5515C865" w14:textId="77777777" w:rsidR="00165D6C" w:rsidRPr="00165D6C" w:rsidRDefault="00165D6C" w:rsidP="00165D6C">
      <w:pPr>
        <w:spacing w:after="0" w:line="276" w:lineRule="auto"/>
      </w:pPr>
    </w:p>
    <w:p w14:paraId="50DC3CFA" w14:textId="3EAC1EA4" w:rsidR="008E677E" w:rsidRDefault="008E677E" w:rsidP="00165D6C">
      <w:pPr>
        <w:pStyle w:val="Heading2"/>
        <w:spacing w:before="0" w:line="276" w:lineRule="auto"/>
        <w:jc w:val="both"/>
        <w:rPr>
          <w:rFonts w:ascii="Times New Roman" w:hAnsi="Times New Roman" w:cs="Times New Roman"/>
          <w:color w:val="000000" w:themeColor="text1"/>
          <w:sz w:val="24"/>
          <w:szCs w:val="24"/>
        </w:rPr>
      </w:pPr>
      <w:r w:rsidRPr="008E677E">
        <w:rPr>
          <w:rFonts w:ascii="Times New Roman" w:hAnsi="Times New Roman" w:cs="Times New Roman"/>
          <w:color w:val="000000" w:themeColor="text1"/>
          <w:sz w:val="24"/>
          <w:szCs w:val="24"/>
        </w:rPr>
        <w:t xml:space="preserve">The policy is only applicable to consultancy services given by </w:t>
      </w:r>
      <w:r>
        <w:rPr>
          <w:rFonts w:ascii="Times New Roman" w:hAnsi="Times New Roman" w:cs="Times New Roman"/>
          <w:color w:val="000000" w:themeColor="text1"/>
          <w:sz w:val="24"/>
          <w:szCs w:val="24"/>
        </w:rPr>
        <w:t>the U</w:t>
      </w:r>
      <w:r w:rsidRPr="008E677E">
        <w:rPr>
          <w:rFonts w:ascii="Times New Roman" w:hAnsi="Times New Roman" w:cs="Times New Roman"/>
          <w:color w:val="000000" w:themeColor="text1"/>
          <w:sz w:val="24"/>
          <w:szCs w:val="24"/>
        </w:rPr>
        <w:t xml:space="preserve">niversity faculty/staff to industries, visiting lectureships at other universities does not fall in the scope of this policy. </w:t>
      </w:r>
    </w:p>
    <w:p w14:paraId="53EE0751" w14:textId="77777777" w:rsidR="00165D6C" w:rsidRPr="00165D6C" w:rsidRDefault="00165D6C" w:rsidP="00165D6C">
      <w:pPr>
        <w:spacing w:after="0"/>
      </w:pPr>
    </w:p>
    <w:p w14:paraId="1F366849" w14:textId="1589F423" w:rsidR="00417F07" w:rsidRPr="002E1C3B" w:rsidRDefault="00417F07" w:rsidP="00165D6C">
      <w:pPr>
        <w:pStyle w:val="Heading1"/>
        <w:spacing w:before="0" w:line="276" w:lineRule="auto"/>
        <w:rPr>
          <w:rStyle w:val="fontstyle01"/>
          <w:rFonts w:ascii="Times New Roman" w:hAnsi="Times New Roman" w:cs="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t>Consultancy</w:t>
      </w:r>
    </w:p>
    <w:p w14:paraId="13EEDBEB" w14:textId="77777777" w:rsidR="00165D6C" w:rsidRPr="00165D6C" w:rsidRDefault="00165D6C" w:rsidP="00165D6C">
      <w:pPr>
        <w:spacing w:after="0"/>
      </w:pPr>
    </w:p>
    <w:p w14:paraId="68679F08" w14:textId="756EE5BE" w:rsidR="00417F07" w:rsidRDefault="00417F07" w:rsidP="00165D6C">
      <w:pPr>
        <w:pStyle w:val="Heading2"/>
        <w:spacing w:before="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Consultancy is defined as the provision of any advice, information</w:t>
      </w:r>
      <w:proofErr w:type="gramStart"/>
      <w:r w:rsidRPr="00C17A28">
        <w:rPr>
          <w:rFonts w:ascii="Times New Roman" w:hAnsi="Times New Roman" w:cs="Times New Roman"/>
          <w:color w:val="000000" w:themeColor="text1"/>
          <w:sz w:val="24"/>
          <w:szCs w:val="24"/>
        </w:rPr>
        <w:t>,</w:t>
      </w:r>
      <w:proofErr w:type="gramEnd"/>
      <w:r w:rsidRPr="00C17A28">
        <w:rPr>
          <w:rFonts w:ascii="Times New Roman" w:hAnsi="Times New Roman" w:cs="Times New Roman"/>
          <w:color w:val="000000" w:themeColor="text1"/>
          <w:sz w:val="24"/>
          <w:szCs w:val="24"/>
        </w:rPr>
        <w:br/>
        <w:t xml:space="preserve">training, acting as subject matter expert for an external </w:t>
      </w:r>
      <w:r w:rsidR="004357D4" w:rsidRPr="00C17A28">
        <w:rPr>
          <w:rFonts w:ascii="Times New Roman" w:hAnsi="Times New Roman" w:cs="Times New Roman"/>
          <w:color w:val="000000" w:themeColor="text1"/>
          <w:sz w:val="24"/>
          <w:szCs w:val="24"/>
        </w:rPr>
        <w:t>organization</w:t>
      </w:r>
      <w:r w:rsidRPr="00C17A28">
        <w:rPr>
          <w:rFonts w:ascii="Times New Roman" w:hAnsi="Times New Roman" w:cs="Times New Roman"/>
          <w:color w:val="000000" w:themeColor="text1"/>
          <w:sz w:val="24"/>
          <w:szCs w:val="24"/>
        </w:rPr>
        <w:t xml:space="preserve"> or other such professional service for a fee</w:t>
      </w:r>
      <w:r w:rsidR="004357D4" w:rsidRPr="00C17A28">
        <w:rPr>
          <w:rFonts w:ascii="Times New Roman" w:hAnsi="Times New Roman" w:cs="Times New Roman"/>
          <w:color w:val="000000" w:themeColor="text1"/>
          <w:sz w:val="24"/>
          <w:szCs w:val="24"/>
        </w:rPr>
        <w:t>.  The policy does not apply to the following areas as the</w:t>
      </w:r>
      <w:r w:rsidR="006E3334">
        <w:rPr>
          <w:rFonts w:ascii="Times New Roman" w:hAnsi="Times New Roman" w:cs="Times New Roman"/>
          <w:color w:val="000000" w:themeColor="text1"/>
          <w:sz w:val="24"/>
          <w:szCs w:val="24"/>
        </w:rPr>
        <w:t>se</w:t>
      </w:r>
      <w:r w:rsidR="004357D4" w:rsidRPr="00C17A28">
        <w:rPr>
          <w:rFonts w:ascii="Times New Roman" w:hAnsi="Times New Roman" w:cs="Times New Roman"/>
          <w:color w:val="000000" w:themeColor="text1"/>
          <w:sz w:val="24"/>
          <w:szCs w:val="24"/>
        </w:rPr>
        <w:t xml:space="preserve"> are not considered in consultancy</w:t>
      </w:r>
      <w:r w:rsidR="00E3433D">
        <w:rPr>
          <w:rFonts w:ascii="Times New Roman" w:hAnsi="Times New Roman" w:cs="Times New Roman"/>
          <w:color w:val="000000" w:themeColor="text1"/>
          <w:sz w:val="24"/>
          <w:szCs w:val="24"/>
        </w:rPr>
        <w:t>.</w:t>
      </w:r>
    </w:p>
    <w:p w14:paraId="13B3DCC2" w14:textId="77777777" w:rsidR="00165D6C" w:rsidRPr="00165D6C" w:rsidRDefault="00165D6C" w:rsidP="00165D6C"/>
    <w:p w14:paraId="18411DEC" w14:textId="7ECF6AD5" w:rsidR="004357D4" w:rsidRPr="00C17A28" w:rsidRDefault="004357D4" w:rsidP="00165D6C">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lastRenderedPageBreak/>
        <w:t>External examiner duties</w:t>
      </w:r>
    </w:p>
    <w:p w14:paraId="76427BAA" w14:textId="13F7DB6B" w:rsidR="004357D4" w:rsidRPr="00C17A28" w:rsidRDefault="004357D4" w:rsidP="00165D6C">
      <w:pPr>
        <w:pStyle w:val="ListParagraph"/>
        <w:numPr>
          <w:ilvl w:val="0"/>
          <w:numId w:val="2"/>
        </w:numPr>
        <w:spacing w:before="120" w:after="12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Authorship of, or royalties from, the publication of books</w:t>
      </w:r>
    </w:p>
    <w:p w14:paraId="23B0CAAF" w14:textId="43B44F7D" w:rsidR="004357D4" w:rsidRPr="00C17A28" w:rsidRDefault="004357D4" w:rsidP="00165D6C">
      <w:pPr>
        <w:pStyle w:val="ListParagraph"/>
        <w:numPr>
          <w:ilvl w:val="0"/>
          <w:numId w:val="2"/>
        </w:numPr>
        <w:spacing w:before="120" w:after="12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The dissemination of primary knowledge (i.e. education) – i.e. a Faculty’s core teaching or teaching related activities.</w:t>
      </w:r>
    </w:p>
    <w:p w14:paraId="4A996607" w14:textId="246EE759" w:rsidR="004357D4" w:rsidRPr="00C17A28" w:rsidRDefault="004357D4" w:rsidP="00165D6C">
      <w:pPr>
        <w:pStyle w:val="ListParagraph"/>
        <w:numPr>
          <w:ilvl w:val="0"/>
          <w:numId w:val="2"/>
        </w:numPr>
        <w:spacing w:before="120" w:after="12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Reviewing publications</w:t>
      </w:r>
    </w:p>
    <w:p w14:paraId="68165B2E" w14:textId="77777777" w:rsidR="00422DC2" w:rsidRPr="00422DC2" w:rsidRDefault="004357D4" w:rsidP="00165D6C">
      <w:pPr>
        <w:pStyle w:val="ListParagraph"/>
        <w:numPr>
          <w:ilvl w:val="0"/>
          <w:numId w:val="2"/>
        </w:numPr>
        <w:spacing w:before="120" w:after="120" w:line="276" w:lineRule="auto"/>
        <w:jc w:val="both"/>
        <w:rPr>
          <w:rFonts w:ascii="Times New Roman" w:hAnsi="Times New Roman" w:cs="Times New Roman"/>
          <w:color w:val="000000" w:themeColor="text1"/>
          <w:sz w:val="28"/>
          <w:szCs w:val="28"/>
        </w:rPr>
      </w:pPr>
      <w:r w:rsidRPr="00422DC2">
        <w:rPr>
          <w:rFonts w:ascii="Times New Roman" w:hAnsi="Times New Roman" w:cs="Times New Roman"/>
          <w:color w:val="000000" w:themeColor="text1"/>
          <w:sz w:val="24"/>
          <w:szCs w:val="24"/>
        </w:rPr>
        <w:t>Appearances in the media</w:t>
      </w:r>
    </w:p>
    <w:p w14:paraId="4A7BAA12" w14:textId="0CBD3EE8" w:rsidR="00EB0F1B" w:rsidRPr="00165D6C" w:rsidRDefault="00EB0F1B" w:rsidP="00165D6C">
      <w:pPr>
        <w:pStyle w:val="ListParagraph"/>
        <w:numPr>
          <w:ilvl w:val="0"/>
          <w:numId w:val="2"/>
        </w:numPr>
        <w:spacing w:after="0" w:line="276" w:lineRule="auto"/>
        <w:jc w:val="both"/>
        <w:rPr>
          <w:rFonts w:ascii="Times New Roman" w:hAnsi="Times New Roman" w:cs="Times New Roman"/>
          <w:color w:val="000000" w:themeColor="text1"/>
          <w:sz w:val="28"/>
          <w:szCs w:val="28"/>
        </w:rPr>
      </w:pPr>
      <w:r w:rsidRPr="00422DC2">
        <w:rPr>
          <w:rFonts w:ascii="Times New Roman" w:hAnsi="Times New Roman" w:cs="Times New Roman"/>
          <w:color w:val="000000" w:themeColor="text1"/>
          <w:sz w:val="24"/>
          <w:szCs w:val="24"/>
        </w:rPr>
        <w:t xml:space="preserve">Voluntary duties for the society such as related to but not limited to HEC, Regulatory Councils (PEC </w:t>
      </w:r>
      <w:r w:rsidR="00E3433D" w:rsidRPr="00422DC2">
        <w:rPr>
          <w:rFonts w:ascii="Times New Roman" w:hAnsi="Times New Roman" w:cs="Times New Roman"/>
          <w:color w:val="000000" w:themeColor="text1"/>
          <w:sz w:val="24"/>
          <w:szCs w:val="24"/>
        </w:rPr>
        <w:t>etc.</w:t>
      </w:r>
      <w:r w:rsidRPr="00422DC2">
        <w:rPr>
          <w:rFonts w:ascii="Times New Roman" w:hAnsi="Times New Roman" w:cs="Times New Roman"/>
          <w:color w:val="000000" w:themeColor="text1"/>
          <w:sz w:val="24"/>
          <w:szCs w:val="24"/>
        </w:rPr>
        <w:t>), IEEE, IMECH and ACM</w:t>
      </w:r>
      <w:r w:rsidR="00E3433D">
        <w:rPr>
          <w:rFonts w:ascii="Times New Roman" w:hAnsi="Times New Roman" w:cs="Times New Roman"/>
          <w:color w:val="000000" w:themeColor="text1"/>
          <w:sz w:val="24"/>
          <w:szCs w:val="24"/>
        </w:rPr>
        <w:t>.</w:t>
      </w:r>
      <w:r w:rsidRPr="00422DC2">
        <w:rPr>
          <w:rFonts w:ascii="Times New Roman" w:hAnsi="Times New Roman" w:cs="Times New Roman"/>
          <w:color w:val="000000" w:themeColor="text1"/>
          <w:sz w:val="24"/>
          <w:szCs w:val="24"/>
        </w:rPr>
        <w:t xml:space="preserve"> </w:t>
      </w:r>
    </w:p>
    <w:p w14:paraId="7628BD30" w14:textId="77777777" w:rsidR="00165D6C" w:rsidRPr="00422DC2" w:rsidRDefault="00165D6C" w:rsidP="00165D6C">
      <w:pPr>
        <w:pStyle w:val="ListParagraph"/>
        <w:spacing w:after="0" w:line="276" w:lineRule="auto"/>
        <w:ind w:left="936"/>
        <w:jc w:val="both"/>
        <w:rPr>
          <w:rFonts w:ascii="Times New Roman" w:hAnsi="Times New Roman" w:cs="Times New Roman"/>
          <w:color w:val="000000" w:themeColor="text1"/>
          <w:sz w:val="28"/>
          <w:szCs w:val="28"/>
        </w:rPr>
      </w:pPr>
    </w:p>
    <w:p w14:paraId="22B77ADF" w14:textId="5EAACFDF" w:rsidR="00F664FD" w:rsidRPr="002E1C3B" w:rsidRDefault="004357D4" w:rsidP="00165D6C">
      <w:pPr>
        <w:pStyle w:val="Heading1"/>
        <w:spacing w:before="0" w:line="276" w:lineRule="auto"/>
        <w:rPr>
          <w:rStyle w:val="fontstyle01"/>
          <w:rFonts w:ascii="Times New Roman" w:hAnsi="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t>University</w:t>
      </w:r>
      <w:r w:rsidRPr="002E1C3B">
        <w:rPr>
          <w:rStyle w:val="fontstyle01"/>
          <w:rFonts w:ascii="Times New Roman" w:hAnsi="Times New Roman"/>
          <w:color w:val="000000" w:themeColor="text1"/>
          <w:sz w:val="28"/>
          <w:szCs w:val="28"/>
        </w:rPr>
        <w:t xml:space="preserve"> </w:t>
      </w:r>
      <w:r w:rsidRPr="002E1C3B">
        <w:rPr>
          <w:rStyle w:val="fontstyle01"/>
          <w:rFonts w:ascii="Times New Roman" w:hAnsi="Times New Roman"/>
          <w:bCs w:val="0"/>
          <w:color w:val="000000" w:themeColor="text1"/>
          <w:sz w:val="28"/>
          <w:szCs w:val="28"/>
        </w:rPr>
        <w:t>Consultancy</w:t>
      </w:r>
    </w:p>
    <w:p w14:paraId="4D77750D" w14:textId="77777777" w:rsidR="00165D6C" w:rsidRPr="00165D6C" w:rsidRDefault="00165D6C" w:rsidP="00165D6C">
      <w:pPr>
        <w:spacing w:after="0"/>
      </w:pPr>
    </w:p>
    <w:p w14:paraId="1BB8158B" w14:textId="4C4AD511" w:rsidR="00ED321D" w:rsidRDefault="000D1104" w:rsidP="00165D6C">
      <w:pPr>
        <w:pStyle w:val="Heading2"/>
        <w:spacing w:before="0" w:line="276" w:lineRule="auto"/>
        <w:jc w:val="both"/>
        <w:rPr>
          <w:rFonts w:ascii="Times New Roman" w:hAnsi="Times New Roman" w:cs="Times New Roman"/>
          <w:color w:val="000000" w:themeColor="text1"/>
          <w:sz w:val="24"/>
          <w:szCs w:val="24"/>
        </w:rPr>
      </w:pPr>
      <w:r w:rsidRPr="009969FF">
        <w:rPr>
          <w:rFonts w:ascii="Times New Roman" w:hAnsi="Times New Roman" w:cs="Times New Roman"/>
          <w:color w:val="000000" w:themeColor="text1"/>
          <w:sz w:val="24"/>
          <w:szCs w:val="24"/>
        </w:rPr>
        <w:t>Such consultancy in which a member of faculty/staff provides a consultancy service to a third party in the course of his/her employment with the University and where the nature of the task arises naturally from, and is related to, his or her University employment.</w:t>
      </w:r>
      <w:r w:rsidR="00ED321D" w:rsidRPr="009969FF">
        <w:rPr>
          <w:rFonts w:ascii="Times New Roman" w:hAnsi="Times New Roman" w:cs="Times New Roman"/>
          <w:color w:val="000000" w:themeColor="text1"/>
          <w:sz w:val="24"/>
          <w:szCs w:val="24"/>
        </w:rPr>
        <w:t xml:space="preserve">  A </w:t>
      </w:r>
      <w:r w:rsidR="00EB0F1B" w:rsidRPr="009969FF">
        <w:rPr>
          <w:rFonts w:ascii="Times New Roman" w:hAnsi="Times New Roman" w:cs="Times New Roman"/>
          <w:color w:val="000000" w:themeColor="text1"/>
          <w:sz w:val="24"/>
          <w:szCs w:val="24"/>
        </w:rPr>
        <w:t>task</w:t>
      </w:r>
      <w:r w:rsidR="00ED321D" w:rsidRPr="009969FF">
        <w:rPr>
          <w:rFonts w:ascii="Times New Roman" w:hAnsi="Times New Roman" w:cs="Times New Roman"/>
          <w:color w:val="000000" w:themeColor="text1"/>
          <w:sz w:val="24"/>
          <w:szCs w:val="24"/>
        </w:rPr>
        <w:t xml:space="preserve"> involving at least one of the following is defined as university consultancy:</w:t>
      </w:r>
    </w:p>
    <w:p w14:paraId="7AD253C7" w14:textId="77777777" w:rsidR="00165D6C" w:rsidRPr="00165D6C" w:rsidRDefault="00165D6C" w:rsidP="00165D6C">
      <w:pPr>
        <w:spacing w:after="0"/>
      </w:pPr>
    </w:p>
    <w:p w14:paraId="1CC389D1" w14:textId="7DDBC926" w:rsidR="00ED321D" w:rsidRPr="00C17A28" w:rsidRDefault="00ED321D" w:rsidP="00165D6C">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Use of any University facilities or staff (including the time of the member of staff undertaking the consultancy)</w:t>
      </w:r>
    </w:p>
    <w:p w14:paraId="73C0AEE9" w14:textId="40478B91" w:rsidR="00ED321D" w:rsidRPr="00C17A28" w:rsidRDefault="00ED321D" w:rsidP="00165D6C">
      <w:pPr>
        <w:pStyle w:val="ListParagraph"/>
        <w:numPr>
          <w:ilvl w:val="0"/>
          <w:numId w:val="3"/>
        </w:numPr>
        <w:spacing w:before="120" w:after="12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Use of any kind of university resource in carrying out the work</w:t>
      </w:r>
    </w:p>
    <w:p w14:paraId="13C222BA" w14:textId="7FF232B5" w:rsidR="00ED321D" w:rsidRDefault="00ED321D" w:rsidP="00165D6C">
      <w:pPr>
        <w:pStyle w:val="ListParagraph"/>
        <w:numPr>
          <w:ilvl w:val="0"/>
          <w:numId w:val="3"/>
        </w:numPr>
        <w:spacing w:after="0"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Legal liability lies, in whole or in part, with the University</w:t>
      </w:r>
    </w:p>
    <w:p w14:paraId="777B17EF" w14:textId="77777777" w:rsidR="00165D6C" w:rsidRPr="00C17A28" w:rsidRDefault="00165D6C" w:rsidP="00165D6C">
      <w:pPr>
        <w:pStyle w:val="ListParagraph"/>
        <w:spacing w:after="0" w:line="276" w:lineRule="auto"/>
        <w:ind w:left="1080"/>
        <w:jc w:val="both"/>
        <w:rPr>
          <w:rFonts w:ascii="Times New Roman" w:hAnsi="Times New Roman" w:cs="Times New Roman"/>
          <w:color w:val="000000" w:themeColor="text1"/>
          <w:sz w:val="24"/>
          <w:szCs w:val="24"/>
        </w:rPr>
      </w:pPr>
    </w:p>
    <w:p w14:paraId="76BD9405" w14:textId="4A80C1C7" w:rsidR="00DA5D6B" w:rsidRDefault="00EE74E6" w:rsidP="00165D6C">
      <w:pPr>
        <w:pStyle w:val="Heading2"/>
        <w:spacing w:before="0" w:line="276" w:lineRule="auto"/>
        <w:jc w:val="both"/>
        <w:rPr>
          <w:rFonts w:ascii="Times New Roman" w:hAnsi="Times New Roman" w:cs="Times New Roman"/>
          <w:color w:val="000000" w:themeColor="text1"/>
          <w:sz w:val="24"/>
          <w:szCs w:val="24"/>
        </w:rPr>
      </w:pPr>
      <w:r w:rsidRPr="009969FF">
        <w:rPr>
          <w:rFonts w:ascii="Times New Roman" w:hAnsi="Times New Roman" w:cs="Times New Roman"/>
          <w:color w:val="000000" w:themeColor="text1"/>
          <w:sz w:val="24"/>
          <w:szCs w:val="24"/>
        </w:rPr>
        <w:t xml:space="preserve">As a guideline, up to </w:t>
      </w:r>
      <w:r w:rsidR="009A42FA" w:rsidRPr="009969FF">
        <w:rPr>
          <w:rFonts w:ascii="Times New Roman" w:hAnsi="Times New Roman" w:cs="Times New Roman"/>
          <w:color w:val="000000" w:themeColor="text1"/>
          <w:sz w:val="24"/>
          <w:szCs w:val="24"/>
        </w:rPr>
        <w:t>3</w:t>
      </w:r>
      <w:r w:rsidRPr="009969FF">
        <w:rPr>
          <w:rFonts w:ascii="Times New Roman" w:hAnsi="Times New Roman" w:cs="Times New Roman"/>
          <w:color w:val="000000" w:themeColor="text1"/>
          <w:sz w:val="24"/>
          <w:szCs w:val="24"/>
        </w:rPr>
        <w:t>0 days per annum may be spent on University consultancy activities. However, this may be increased by obtaining written approval from the Vice Chancellor. All University consultancy contracts must be negotiated and dealt with through the</w:t>
      </w:r>
      <w:r w:rsidR="00EB0F1B" w:rsidRPr="009969FF">
        <w:rPr>
          <w:rFonts w:ascii="Times New Roman" w:hAnsi="Times New Roman" w:cs="Times New Roman"/>
          <w:color w:val="000000" w:themeColor="text1"/>
          <w:sz w:val="24"/>
          <w:szCs w:val="24"/>
        </w:rPr>
        <w:t xml:space="preserve"> Office of Research, Innovation &amp; Commercialization (ORIC)</w:t>
      </w:r>
      <w:r w:rsidR="002E1C3B">
        <w:rPr>
          <w:rFonts w:ascii="Times New Roman" w:hAnsi="Times New Roman" w:cs="Times New Roman"/>
          <w:color w:val="000000" w:themeColor="text1"/>
          <w:sz w:val="24"/>
          <w:szCs w:val="24"/>
        </w:rPr>
        <w:t>.</w:t>
      </w:r>
    </w:p>
    <w:p w14:paraId="71E4F43F" w14:textId="77777777" w:rsidR="00165D6C" w:rsidRPr="00165D6C" w:rsidRDefault="00165D6C" w:rsidP="00165D6C"/>
    <w:p w14:paraId="3476B66B" w14:textId="1BE75BB4" w:rsidR="002D0D51" w:rsidRDefault="002D0D51" w:rsidP="00165D6C">
      <w:pPr>
        <w:pStyle w:val="Heading2"/>
        <w:spacing w:before="0" w:line="276" w:lineRule="auto"/>
        <w:jc w:val="both"/>
        <w:rPr>
          <w:rFonts w:ascii="Times New Roman" w:hAnsi="Times New Roman" w:cs="Times New Roman"/>
          <w:color w:val="000000" w:themeColor="text1"/>
          <w:sz w:val="24"/>
          <w:szCs w:val="24"/>
        </w:rPr>
      </w:pPr>
      <w:r w:rsidRPr="009969FF">
        <w:rPr>
          <w:rFonts w:ascii="Times New Roman" w:hAnsi="Times New Roman" w:cs="Times New Roman"/>
          <w:color w:val="000000" w:themeColor="text1"/>
          <w:sz w:val="24"/>
          <w:szCs w:val="24"/>
        </w:rPr>
        <w:t>The concerned faculty/staff member will ensure that there is a certain benefit to the university in terms of tangible outcomes as mentioned in clause 1.1.  The achieved outcomes will be duly intimated to ORIC after the conclusion of the consultancy</w:t>
      </w:r>
      <w:r w:rsidR="00E3433D" w:rsidRPr="009969FF">
        <w:rPr>
          <w:rFonts w:ascii="Times New Roman" w:hAnsi="Times New Roman" w:cs="Times New Roman"/>
          <w:color w:val="000000" w:themeColor="text1"/>
          <w:sz w:val="24"/>
          <w:szCs w:val="24"/>
        </w:rPr>
        <w:t>.</w:t>
      </w:r>
      <w:r w:rsidRPr="009969FF">
        <w:rPr>
          <w:rFonts w:ascii="Times New Roman" w:hAnsi="Times New Roman" w:cs="Times New Roman"/>
          <w:color w:val="000000" w:themeColor="text1"/>
          <w:sz w:val="24"/>
          <w:szCs w:val="24"/>
        </w:rPr>
        <w:t xml:space="preserve"> </w:t>
      </w:r>
    </w:p>
    <w:p w14:paraId="4896D5B8" w14:textId="77777777" w:rsidR="002E1C3B" w:rsidRPr="002E1C3B" w:rsidRDefault="002E1C3B" w:rsidP="002E1C3B"/>
    <w:p w14:paraId="67811636" w14:textId="77777777" w:rsidR="00C17A28" w:rsidRPr="002E1C3B" w:rsidRDefault="00C17A28" w:rsidP="002E1C3B">
      <w:pPr>
        <w:pStyle w:val="Heading1"/>
        <w:spacing w:before="0" w:line="276" w:lineRule="auto"/>
        <w:rPr>
          <w:rStyle w:val="fontstyle01"/>
          <w:rFonts w:ascii="Times New Roman" w:hAnsi="Times New Roman"/>
          <w:bCs w:val="0"/>
          <w:color w:val="000000" w:themeColor="text1"/>
          <w:sz w:val="28"/>
          <w:szCs w:val="28"/>
        </w:rPr>
      </w:pPr>
      <w:r w:rsidRPr="002E1C3B">
        <w:rPr>
          <w:rStyle w:val="fontstyle01"/>
          <w:rFonts w:ascii="Times New Roman" w:hAnsi="Times New Roman"/>
          <w:bCs w:val="0"/>
          <w:color w:val="000000" w:themeColor="text1"/>
          <w:sz w:val="28"/>
          <w:szCs w:val="28"/>
        </w:rPr>
        <w:t>Services</w:t>
      </w:r>
    </w:p>
    <w:p w14:paraId="3F4A1033" w14:textId="77777777" w:rsidR="002E1C3B" w:rsidRPr="002E1C3B" w:rsidRDefault="002E1C3B" w:rsidP="002E1C3B"/>
    <w:p w14:paraId="5E3E0AE1" w14:textId="3BD349E3" w:rsidR="00C17A28" w:rsidRDefault="00C17A28" w:rsidP="002E1C3B">
      <w:pPr>
        <w:pStyle w:val="Heading2"/>
        <w:spacing w:before="0" w:line="276" w:lineRule="auto"/>
        <w:jc w:val="both"/>
        <w:rPr>
          <w:rFonts w:ascii="Times New Roman" w:eastAsiaTheme="minorHAnsi" w:hAnsi="Times New Roman" w:cs="Times New Roman"/>
          <w:color w:val="000000" w:themeColor="text1"/>
          <w:sz w:val="24"/>
          <w:szCs w:val="24"/>
        </w:rPr>
      </w:pPr>
      <w:proofErr w:type="gramStart"/>
      <w:r w:rsidRPr="002B6A16">
        <w:rPr>
          <w:rFonts w:ascii="Times New Roman" w:eastAsiaTheme="minorHAnsi" w:hAnsi="Times New Roman" w:cs="Times New Roman"/>
          <w:color w:val="000000" w:themeColor="text1"/>
          <w:sz w:val="24"/>
          <w:szCs w:val="24"/>
        </w:rPr>
        <w:t>The provision of analytical, testing or other services for third parties involving any use of University facilities, equipment, IT networks, and staff resources.</w:t>
      </w:r>
      <w:proofErr w:type="gramEnd"/>
      <w:r w:rsidRPr="002B6A16">
        <w:rPr>
          <w:rFonts w:ascii="Times New Roman" w:eastAsiaTheme="minorHAnsi" w:hAnsi="Times New Roman" w:cs="Times New Roman"/>
          <w:color w:val="000000" w:themeColor="text1"/>
          <w:sz w:val="24"/>
          <w:szCs w:val="24"/>
        </w:rPr>
        <w:t xml:space="preserve"> For the purposes of these procedures, all such work should be regarded as similar to university consultancy and be regulated as such.</w:t>
      </w:r>
      <w:r w:rsidR="00AE4460">
        <w:rPr>
          <w:rFonts w:ascii="Times New Roman" w:eastAsiaTheme="minorHAnsi" w:hAnsi="Times New Roman" w:cs="Times New Roman"/>
          <w:color w:val="000000" w:themeColor="text1"/>
          <w:sz w:val="24"/>
          <w:szCs w:val="24"/>
        </w:rPr>
        <w:t xml:space="preserve"> </w:t>
      </w:r>
    </w:p>
    <w:p w14:paraId="175C5B55" w14:textId="22406684" w:rsidR="002E1C3B" w:rsidRDefault="002E1C3B">
      <w:r>
        <w:br w:type="page"/>
      </w:r>
    </w:p>
    <w:p w14:paraId="5CEAD85C" w14:textId="77777777" w:rsidR="008E677E" w:rsidRPr="002E1C3B" w:rsidRDefault="008E677E" w:rsidP="002E1C3B">
      <w:pPr>
        <w:pStyle w:val="Heading1"/>
        <w:spacing w:before="0" w:line="276" w:lineRule="auto"/>
        <w:rPr>
          <w:rStyle w:val="fontstyle01"/>
          <w:rFonts w:ascii="Times New Roman" w:hAnsi="Times New Roman" w:cs="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lastRenderedPageBreak/>
        <w:t>Approval</w:t>
      </w:r>
    </w:p>
    <w:p w14:paraId="4D288772" w14:textId="77777777" w:rsidR="002E1C3B" w:rsidRPr="002E1C3B" w:rsidRDefault="002E1C3B" w:rsidP="002E1C3B"/>
    <w:p w14:paraId="387B2C92" w14:textId="77777777" w:rsidR="008E677E" w:rsidRDefault="008E677E" w:rsidP="002E1C3B">
      <w:pPr>
        <w:pStyle w:val="Heading2"/>
        <w:spacing w:before="0" w:line="276" w:lineRule="auto"/>
        <w:jc w:val="both"/>
        <w:rPr>
          <w:rFonts w:ascii="Times New Roman" w:eastAsiaTheme="minorHAnsi" w:hAnsi="Times New Roman" w:cs="Times New Roman"/>
          <w:color w:val="000000" w:themeColor="text1"/>
          <w:sz w:val="24"/>
          <w:szCs w:val="24"/>
        </w:rPr>
      </w:pPr>
      <w:r w:rsidRPr="00C17A28">
        <w:rPr>
          <w:rFonts w:ascii="Times New Roman" w:eastAsiaTheme="minorHAnsi" w:hAnsi="Times New Roman" w:cs="Times New Roman"/>
          <w:color w:val="000000" w:themeColor="text1"/>
          <w:sz w:val="24"/>
          <w:szCs w:val="24"/>
        </w:rPr>
        <w:t>In order to protect the university from legal and financial risk, and to ensure transparency and consistency of treatment for all faculty/staff who may engage in consultancy activity, all university consultancies</w:t>
      </w:r>
      <w:r>
        <w:rPr>
          <w:rFonts w:ascii="Times New Roman" w:eastAsiaTheme="minorHAnsi" w:hAnsi="Times New Roman" w:cs="Times New Roman"/>
          <w:color w:val="000000" w:themeColor="text1"/>
          <w:sz w:val="24"/>
          <w:szCs w:val="24"/>
        </w:rPr>
        <w:t xml:space="preserve"> </w:t>
      </w:r>
      <w:r w:rsidRPr="008E677E">
        <w:rPr>
          <w:rFonts w:ascii="Times New Roman" w:eastAsiaTheme="minorHAnsi" w:hAnsi="Times New Roman" w:cs="Times New Roman"/>
          <w:color w:val="000000" w:themeColor="text1"/>
          <w:sz w:val="24"/>
          <w:szCs w:val="24"/>
        </w:rPr>
        <w:t xml:space="preserve">may be negotiated through ORIC office. An agreement in form of </w:t>
      </w:r>
      <w:proofErr w:type="gramStart"/>
      <w:r w:rsidRPr="008E677E">
        <w:rPr>
          <w:rFonts w:ascii="Times New Roman" w:eastAsiaTheme="minorHAnsi" w:hAnsi="Times New Roman" w:cs="Times New Roman"/>
          <w:color w:val="000000" w:themeColor="text1"/>
          <w:sz w:val="24"/>
          <w:szCs w:val="24"/>
        </w:rPr>
        <w:t>an</w:t>
      </w:r>
      <w:proofErr w:type="gramEnd"/>
      <w:r w:rsidRPr="008E677E">
        <w:rPr>
          <w:rFonts w:ascii="Times New Roman" w:eastAsiaTheme="minorHAnsi" w:hAnsi="Times New Roman" w:cs="Times New Roman"/>
          <w:color w:val="000000" w:themeColor="text1"/>
          <w:sz w:val="24"/>
          <w:szCs w:val="24"/>
        </w:rPr>
        <w:t xml:space="preserve"> </w:t>
      </w:r>
      <w:proofErr w:type="spellStart"/>
      <w:r w:rsidRPr="008E677E">
        <w:rPr>
          <w:rFonts w:ascii="Times New Roman" w:eastAsiaTheme="minorHAnsi" w:hAnsi="Times New Roman" w:cs="Times New Roman"/>
          <w:color w:val="000000" w:themeColor="text1"/>
          <w:sz w:val="24"/>
          <w:szCs w:val="24"/>
        </w:rPr>
        <w:t>MoU</w:t>
      </w:r>
      <w:proofErr w:type="spellEnd"/>
      <w:r w:rsidRPr="008E677E">
        <w:rPr>
          <w:rFonts w:ascii="Times New Roman" w:eastAsiaTheme="minorHAnsi" w:hAnsi="Times New Roman" w:cs="Times New Roman"/>
          <w:color w:val="000000" w:themeColor="text1"/>
          <w:sz w:val="24"/>
          <w:szCs w:val="24"/>
        </w:rPr>
        <w:t xml:space="preserve"> should be signed between the university and the client/sponsor prior to consultancy work. </w:t>
      </w:r>
    </w:p>
    <w:p w14:paraId="26E109C4" w14:textId="77777777" w:rsidR="002E1C3B" w:rsidRPr="002E1C3B" w:rsidRDefault="002E1C3B" w:rsidP="002E1C3B">
      <w:pPr>
        <w:spacing w:after="0"/>
      </w:pPr>
    </w:p>
    <w:p w14:paraId="530258AD" w14:textId="77777777" w:rsidR="008E677E" w:rsidRPr="002E1C3B" w:rsidRDefault="008E677E" w:rsidP="002E1C3B">
      <w:pPr>
        <w:pStyle w:val="Heading1"/>
        <w:spacing w:before="0" w:line="276" w:lineRule="auto"/>
        <w:rPr>
          <w:rStyle w:val="fontstyle01"/>
          <w:rFonts w:ascii="Times New Roman" w:hAnsi="Times New Roman"/>
          <w:bCs w:val="0"/>
          <w:color w:val="000000" w:themeColor="text1"/>
          <w:sz w:val="28"/>
          <w:szCs w:val="28"/>
        </w:rPr>
      </w:pPr>
      <w:r w:rsidRPr="002E1C3B">
        <w:rPr>
          <w:rStyle w:val="fontstyle01"/>
          <w:rFonts w:ascii="Times New Roman" w:hAnsi="Times New Roman"/>
          <w:bCs w:val="0"/>
          <w:color w:val="000000" w:themeColor="text1"/>
          <w:sz w:val="28"/>
          <w:szCs w:val="28"/>
        </w:rPr>
        <w:t>Intellectual Property Rights</w:t>
      </w:r>
    </w:p>
    <w:p w14:paraId="565CC0D7" w14:textId="77777777" w:rsidR="002E1C3B" w:rsidRPr="002E1C3B" w:rsidRDefault="002E1C3B" w:rsidP="002E1C3B">
      <w:pPr>
        <w:spacing w:after="0"/>
      </w:pPr>
    </w:p>
    <w:p w14:paraId="1C10D7B7" w14:textId="6A6934FB" w:rsidR="008E677E" w:rsidRPr="002722B0" w:rsidRDefault="008E677E" w:rsidP="002E1C3B">
      <w:pPr>
        <w:pStyle w:val="Heading2"/>
        <w:spacing w:before="0" w:line="276" w:lineRule="auto"/>
        <w:jc w:val="both"/>
        <w:rPr>
          <w:rFonts w:ascii="Times New Roman" w:eastAsiaTheme="minorHAnsi" w:hAnsi="Times New Roman" w:cs="Times New Roman"/>
          <w:color w:val="000000" w:themeColor="text1"/>
          <w:sz w:val="24"/>
          <w:szCs w:val="24"/>
        </w:rPr>
      </w:pPr>
      <w:r w:rsidRPr="002722B0">
        <w:rPr>
          <w:rFonts w:ascii="Times New Roman" w:eastAsiaTheme="minorHAnsi" w:hAnsi="Times New Roman" w:cs="Times New Roman"/>
          <w:color w:val="000000" w:themeColor="text1"/>
          <w:sz w:val="24"/>
          <w:szCs w:val="24"/>
        </w:rPr>
        <w:t xml:space="preserve">All the rights and titles in the intellectual property devised or created by a faculty/staff member of the university in the course of his/her project shall be shared mutually by the University and concerned </w:t>
      </w:r>
      <w:r w:rsidR="002722B0" w:rsidRPr="002722B0">
        <w:rPr>
          <w:rFonts w:ascii="Times New Roman" w:eastAsiaTheme="minorHAnsi" w:hAnsi="Times New Roman" w:cs="Times New Roman"/>
          <w:color w:val="000000" w:themeColor="text1"/>
          <w:sz w:val="24"/>
          <w:szCs w:val="24"/>
        </w:rPr>
        <w:t>client</w:t>
      </w:r>
      <w:r w:rsidRPr="002722B0">
        <w:rPr>
          <w:rFonts w:ascii="Times New Roman" w:eastAsiaTheme="minorHAnsi" w:hAnsi="Times New Roman" w:cs="Times New Roman"/>
          <w:color w:val="000000" w:themeColor="text1"/>
          <w:sz w:val="24"/>
          <w:szCs w:val="24"/>
        </w:rPr>
        <w:t>/</w:t>
      </w:r>
      <w:r w:rsidR="002722B0" w:rsidRPr="002722B0">
        <w:rPr>
          <w:rFonts w:ascii="Times New Roman" w:eastAsiaTheme="minorHAnsi" w:hAnsi="Times New Roman" w:cs="Times New Roman"/>
          <w:color w:val="000000" w:themeColor="text1"/>
          <w:sz w:val="24"/>
          <w:szCs w:val="24"/>
        </w:rPr>
        <w:t>sponsor</w:t>
      </w:r>
      <w:r w:rsidRPr="002722B0">
        <w:rPr>
          <w:rFonts w:ascii="Times New Roman" w:eastAsiaTheme="minorHAnsi" w:hAnsi="Times New Roman" w:cs="Times New Roman"/>
          <w:color w:val="000000" w:themeColor="text1"/>
          <w:sz w:val="24"/>
          <w:szCs w:val="24"/>
        </w:rPr>
        <w:t xml:space="preserve"> in accordance with the mutually signed </w:t>
      </w:r>
      <w:proofErr w:type="spellStart"/>
      <w:r w:rsidRPr="002722B0">
        <w:rPr>
          <w:rFonts w:ascii="Times New Roman" w:eastAsiaTheme="minorHAnsi" w:hAnsi="Times New Roman" w:cs="Times New Roman"/>
          <w:color w:val="000000" w:themeColor="text1"/>
          <w:sz w:val="24"/>
          <w:szCs w:val="24"/>
        </w:rPr>
        <w:t>MoU</w:t>
      </w:r>
      <w:proofErr w:type="spellEnd"/>
      <w:r w:rsidRPr="002722B0">
        <w:rPr>
          <w:rFonts w:ascii="Times New Roman" w:eastAsiaTheme="minorHAnsi" w:hAnsi="Times New Roman" w:cs="Times New Roman"/>
          <w:color w:val="000000" w:themeColor="text1"/>
          <w:sz w:val="24"/>
          <w:szCs w:val="24"/>
        </w:rPr>
        <w:t xml:space="preserve">.  </w:t>
      </w:r>
    </w:p>
    <w:p w14:paraId="33C663AE" w14:textId="77777777" w:rsidR="008E677E" w:rsidRPr="008E677E" w:rsidRDefault="008E677E" w:rsidP="002E1C3B">
      <w:pPr>
        <w:spacing w:after="0" w:line="276" w:lineRule="auto"/>
      </w:pPr>
    </w:p>
    <w:p w14:paraId="0922DD05" w14:textId="67992E4E" w:rsidR="00AA4A89" w:rsidRDefault="00AE4460" w:rsidP="002E1C3B">
      <w:pPr>
        <w:pStyle w:val="Heading2"/>
        <w:spacing w:before="0" w:line="276" w:lineRule="auto"/>
        <w:jc w:val="both"/>
        <w:rPr>
          <w:rFonts w:ascii="Times New Roman" w:eastAsiaTheme="minorHAnsi" w:hAnsi="Times New Roman" w:cs="Times New Roman"/>
          <w:color w:val="000000" w:themeColor="text1"/>
          <w:sz w:val="24"/>
          <w:szCs w:val="24"/>
        </w:rPr>
      </w:pPr>
      <w:r w:rsidRPr="002722B0">
        <w:rPr>
          <w:rFonts w:ascii="Times New Roman" w:eastAsiaTheme="minorHAnsi" w:hAnsi="Times New Roman" w:cs="Times New Roman"/>
          <w:color w:val="000000" w:themeColor="text1"/>
          <w:sz w:val="24"/>
          <w:szCs w:val="24"/>
        </w:rPr>
        <w:t xml:space="preserve">Faculty/staff seeking </w:t>
      </w:r>
      <w:r w:rsidR="0085402A" w:rsidRPr="002722B0">
        <w:rPr>
          <w:rFonts w:ascii="Times New Roman" w:eastAsiaTheme="minorHAnsi" w:hAnsi="Times New Roman" w:cs="Times New Roman"/>
          <w:color w:val="000000" w:themeColor="text1"/>
          <w:sz w:val="24"/>
          <w:szCs w:val="24"/>
        </w:rPr>
        <w:t>consultancy should ensure the ownership principles of CUST Faculty Handbook Section 5.2.4.</w:t>
      </w:r>
    </w:p>
    <w:p w14:paraId="3F5EEA26" w14:textId="77777777" w:rsidR="002E1C3B" w:rsidRPr="002E1C3B" w:rsidRDefault="002E1C3B" w:rsidP="002E1C3B">
      <w:pPr>
        <w:spacing w:after="0"/>
      </w:pPr>
    </w:p>
    <w:p w14:paraId="5FAFA55C" w14:textId="489BBE29" w:rsidR="00171AF1" w:rsidRDefault="003645E5" w:rsidP="002E1C3B">
      <w:pPr>
        <w:pStyle w:val="Heading2"/>
        <w:spacing w:before="0" w:line="276" w:lineRule="auto"/>
        <w:jc w:val="both"/>
        <w:rPr>
          <w:rFonts w:ascii="Times New Roman" w:eastAsiaTheme="minorHAnsi" w:hAnsi="Times New Roman" w:cs="Times New Roman"/>
          <w:color w:val="000000" w:themeColor="text1"/>
          <w:sz w:val="24"/>
          <w:szCs w:val="24"/>
        </w:rPr>
      </w:pPr>
      <w:r w:rsidRPr="00C17A28">
        <w:rPr>
          <w:rFonts w:ascii="Times New Roman" w:eastAsiaTheme="minorHAnsi" w:hAnsi="Times New Roman" w:cs="Times New Roman"/>
          <w:color w:val="000000" w:themeColor="text1"/>
          <w:sz w:val="24"/>
          <w:szCs w:val="24"/>
        </w:rPr>
        <w:t xml:space="preserve">All consultancy proposals </w:t>
      </w:r>
      <w:r w:rsidR="008E677E">
        <w:rPr>
          <w:rFonts w:ascii="Times New Roman" w:eastAsiaTheme="minorHAnsi" w:hAnsi="Times New Roman" w:cs="Times New Roman"/>
          <w:color w:val="000000" w:themeColor="text1"/>
          <w:sz w:val="24"/>
          <w:szCs w:val="24"/>
        </w:rPr>
        <w:t>should</w:t>
      </w:r>
      <w:r w:rsidRPr="00C17A28">
        <w:rPr>
          <w:rFonts w:ascii="Times New Roman" w:eastAsiaTheme="minorHAnsi" w:hAnsi="Times New Roman" w:cs="Times New Roman"/>
          <w:color w:val="000000" w:themeColor="text1"/>
          <w:sz w:val="24"/>
          <w:szCs w:val="24"/>
        </w:rPr>
        <w:t xml:space="preserve"> be passed to the Head of Department in the first instance. The Head of Department in consultation with the ORIC office will make the decision to accept or decline the proposal.</w:t>
      </w:r>
    </w:p>
    <w:p w14:paraId="374978D1" w14:textId="77777777" w:rsidR="002E1C3B" w:rsidRPr="002E1C3B" w:rsidRDefault="002E1C3B" w:rsidP="002E1C3B">
      <w:pPr>
        <w:spacing w:after="0"/>
      </w:pPr>
    </w:p>
    <w:p w14:paraId="4052334B" w14:textId="27D474D3" w:rsidR="00C17A28" w:rsidRDefault="002B6A16" w:rsidP="002E1C3B">
      <w:pPr>
        <w:pStyle w:val="Heading2"/>
        <w:spacing w:before="0" w:line="276" w:lineRule="auto"/>
        <w:jc w:val="both"/>
        <w:rPr>
          <w:rFonts w:ascii="Times New Roman" w:eastAsiaTheme="minorHAnsi" w:hAnsi="Times New Roman" w:cs="Times New Roman"/>
          <w:color w:val="000000" w:themeColor="text1"/>
          <w:sz w:val="24"/>
          <w:szCs w:val="24"/>
        </w:rPr>
      </w:pPr>
      <w:r w:rsidRPr="002B6A16">
        <w:rPr>
          <w:rFonts w:ascii="Times New Roman" w:eastAsiaTheme="minorHAnsi" w:hAnsi="Times New Roman" w:cs="Times New Roman"/>
          <w:color w:val="000000" w:themeColor="text1"/>
          <w:sz w:val="24"/>
          <w:szCs w:val="24"/>
        </w:rPr>
        <w:t xml:space="preserve">In seeking approval, the </w:t>
      </w:r>
      <w:r w:rsidRPr="002722B0">
        <w:rPr>
          <w:rFonts w:ascii="Times New Roman" w:eastAsiaTheme="minorHAnsi" w:hAnsi="Times New Roman" w:cs="Times New Roman"/>
          <w:color w:val="000000" w:themeColor="text1"/>
          <w:sz w:val="24"/>
          <w:szCs w:val="24"/>
        </w:rPr>
        <w:t xml:space="preserve">individual </w:t>
      </w:r>
      <w:r w:rsidR="00171AF1" w:rsidRPr="002722B0">
        <w:rPr>
          <w:rFonts w:ascii="Times New Roman" w:eastAsiaTheme="minorHAnsi" w:hAnsi="Times New Roman" w:cs="Times New Roman"/>
          <w:color w:val="000000" w:themeColor="text1"/>
          <w:sz w:val="24"/>
          <w:szCs w:val="24"/>
        </w:rPr>
        <w:t>should</w:t>
      </w:r>
      <w:r w:rsidRPr="002722B0">
        <w:rPr>
          <w:rFonts w:ascii="Times New Roman" w:eastAsiaTheme="minorHAnsi" w:hAnsi="Times New Roman" w:cs="Times New Roman"/>
          <w:color w:val="000000" w:themeColor="text1"/>
          <w:sz w:val="24"/>
          <w:szCs w:val="24"/>
        </w:rPr>
        <w:t xml:space="preserve"> also</w:t>
      </w:r>
      <w:r w:rsidRPr="002B6A16">
        <w:rPr>
          <w:rFonts w:ascii="Times New Roman" w:eastAsiaTheme="minorHAnsi" w:hAnsi="Times New Roman" w:cs="Times New Roman"/>
          <w:color w:val="000000" w:themeColor="text1"/>
          <w:sz w:val="24"/>
          <w:szCs w:val="24"/>
        </w:rPr>
        <w:t xml:space="preserve"> disclose any outside activity, relationship or interest (including any financial interest), which might give</w:t>
      </w:r>
      <w:r w:rsidR="002E1C3B">
        <w:rPr>
          <w:rFonts w:ascii="Times New Roman" w:eastAsiaTheme="minorHAnsi" w:hAnsi="Times New Roman" w:cs="Times New Roman"/>
          <w:color w:val="000000" w:themeColor="text1"/>
          <w:sz w:val="24"/>
          <w:szCs w:val="24"/>
        </w:rPr>
        <w:t xml:space="preserve"> rise to conflict of interest.</w:t>
      </w:r>
    </w:p>
    <w:p w14:paraId="1C929AC5" w14:textId="77777777" w:rsidR="002E1C3B" w:rsidRPr="002E1C3B" w:rsidRDefault="002E1C3B" w:rsidP="002E1C3B">
      <w:pPr>
        <w:spacing w:after="0"/>
      </w:pPr>
    </w:p>
    <w:p w14:paraId="5DE22621" w14:textId="77777777" w:rsidR="005F65F3" w:rsidRPr="002E1C3B" w:rsidRDefault="004357D4" w:rsidP="002E1C3B">
      <w:pPr>
        <w:pStyle w:val="Heading1"/>
        <w:spacing w:before="0" w:line="276" w:lineRule="auto"/>
        <w:rPr>
          <w:rStyle w:val="fontstyle01"/>
          <w:rFonts w:ascii="Times New Roman" w:hAnsi="Times New Roman" w:cs="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t xml:space="preserve">Duration &amp; Extent </w:t>
      </w:r>
    </w:p>
    <w:p w14:paraId="3F48426C" w14:textId="77777777" w:rsidR="002E1C3B" w:rsidRPr="002E1C3B" w:rsidRDefault="002E1C3B" w:rsidP="002E1C3B">
      <w:pPr>
        <w:spacing w:after="0"/>
      </w:pPr>
    </w:p>
    <w:p w14:paraId="302EAE58" w14:textId="3BE36D13" w:rsidR="005F65F3" w:rsidRDefault="00361A83" w:rsidP="002E1C3B">
      <w:pPr>
        <w:pStyle w:val="Heading2"/>
        <w:spacing w:before="0" w:line="276" w:lineRule="auto"/>
        <w:jc w:val="both"/>
        <w:rPr>
          <w:rFonts w:ascii="Times New Roman" w:eastAsiaTheme="minorHAnsi" w:hAnsi="Times New Roman" w:cs="Times New Roman"/>
          <w:color w:val="000000" w:themeColor="text1"/>
          <w:sz w:val="24"/>
          <w:szCs w:val="24"/>
        </w:rPr>
      </w:pPr>
      <w:r w:rsidRPr="00C17A28">
        <w:rPr>
          <w:rFonts w:ascii="Times New Roman" w:eastAsiaTheme="minorHAnsi" w:hAnsi="Times New Roman" w:cs="Times New Roman"/>
          <w:color w:val="000000" w:themeColor="text1"/>
          <w:sz w:val="24"/>
          <w:szCs w:val="24"/>
        </w:rPr>
        <w:t>Where approval is given to undertake consultancy or service work, a member of faculty/staff should not spend more than stipulated time during semester on the consultancy</w:t>
      </w:r>
      <w:r w:rsidR="00E3433D">
        <w:rPr>
          <w:rFonts w:ascii="Times New Roman" w:eastAsiaTheme="minorHAnsi" w:hAnsi="Times New Roman" w:cs="Times New Roman"/>
          <w:color w:val="000000" w:themeColor="text1"/>
          <w:sz w:val="24"/>
          <w:szCs w:val="24"/>
        </w:rPr>
        <w:t>.</w:t>
      </w:r>
    </w:p>
    <w:p w14:paraId="1EDC3C62" w14:textId="77777777" w:rsidR="002E1C3B" w:rsidRPr="002E1C3B" w:rsidRDefault="002E1C3B" w:rsidP="002E1C3B">
      <w:pPr>
        <w:spacing w:after="0"/>
      </w:pPr>
    </w:p>
    <w:p w14:paraId="580FA827" w14:textId="005789B3" w:rsidR="005F65F3" w:rsidRDefault="00361A83" w:rsidP="002E1C3B">
      <w:pPr>
        <w:pStyle w:val="Heading2"/>
        <w:spacing w:before="0" w:line="276" w:lineRule="auto"/>
        <w:jc w:val="both"/>
        <w:rPr>
          <w:rFonts w:ascii="Times New Roman" w:eastAsiaTheme="minorHAnsi" w:hAnsi="Times New Roman" w:cs="Times New Roman"/>
          <w:color w:val="000000" w:themeColor="text1"/>
          <w:sz w:val="24"/>
          <w:szCs w:val="24"/>
        </w:rPr>
      </w:pPr>
      <w:r w:rsidRPr="00C17A28">
        <w:rPr>
          <w:rFonts w:ascii="Times New Roman" w:eastAsiaTheme="minorHAnsi" w:hAnsi="Times New Roman" w:cs="Times New Roman"/>
          <w:color w:val="000000" w:themeColor="text1"/>
          <w:sz w:val="24"/>
          <w:szCs w:val="24"/>
        </w:rPr>
        <w:t>It is the responsibility of the Dean of Faculty or the Head of Department to ensure that the proposed consultancy does not conflict, in nature or extent, with the University duties of the member of faculty/staff concerned</w:t>
      </w:r>
      <w:r w:rsidR="00E3433D">
        <w:rPr>
          <w:rFonts w:ascii="Times New Roman" w:eastAsiaTheme="minorHAnsi" w:hAnsi="Times New Roman" w:cs="Times New Roman"/>
          <w:color w:val="000000" w:themeColor="text1"/>
          <w:sz w:val="24"/>
          <w:szCs w:val="24"/>
        </w:rPr>
        <w:t>.</w:t>
      </w:r>
    </w:p>
    <w:p w14:paraId="02054436" w14:textId="77777777" w:rsidR="002E1C3B" w:rsidRPr="002E1C3B" w:rsidRDefault="002E1C3B" w:rsidP="002E1C3B">
      <w:pPr>
        <w:spacing w:after="0"/>
      </w:pPr>
    </w:p>
    <w:p w14:paraId="0AEC12BF" w14:textId="28CCE8E7" w:rsidR="004357D4" w:rsidRPr="002E1C3B" w:rsidRDefault="004357D4" w:rsidP="002E1C3B">
      <w:pPr>
        <w:pStyle w:val="Heading1"/>
        <w:spacing w:before="0" w:line="276" w:lineRule="auto"/>
        <w:rPr>
          <w:rStyle w:val="fontstyle01"/>
          <w:rFonts w:ascii="Times New Roman" w:hAnsi="Times New Roman" w:cs="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t>Income Sharing</w:t>
      </w:r>
    </w:p>
    <w:p w14:paraId="1F167F78" w14:textId="77777777" w:rsidR="002E1C3B" w:rsidRPr="002E1C3B" w:rsidRDefault="002E1C3B" w:rsidP="002E1C3B">
      <w:pPr>
        <w:spacing w:after="0"/>
      </w:pPr>
    </w:p>
    <w:p w14:paraId="59BA9C61" w14:textId="79A08060" w:rsidR="002E1C3B" w:rsidRDefault="00356C05" w:rsidP="002E1C3B">
      <w:pPr>
        <w:pStyle w:val="Heading2"/>
        <w:spacing w:before="0" w:after="120" w:line="276" w:lineRule="auto"/>
        <w:jc w:val="both"/>
        <w:rPr>
          <w:rFonts w:ascii="Times New Roman" w:eastAsiaTheme="minorHAnsi" w:hAnsi="Times New Roman" w:cs="Times New Roman"/>
          <w:color w:val="000000" w:themeColor="text1"/>
          <w:sz w:val="24"/>
          <w:szCs w:val="24"/>
        </w:rPr>
      </w:pPr>
      <w:r w:rsidRPr="00C17A28">
        <w:rPr>
          <w:rFonts w:ascii="Times New Roman" w:eastAsiaTheme="minorHAnsi" w:hAnsi="Times New Roman" w:cs="Times New Roman"/>
          <w:color w:val="000000" w:themeColor="text1"/>
          <w:sz w:val="24"/>
          <w:szCs w:val="24"/>
        </w:rPr>
        <w:t xml:space="preserve">After the deduction of any direct costs and expenses </w:t>
      </w:r>
      <w:r w:rsidR="006E3334">
        <w:rPr>
          <w:rFonts w:ascii="Times New Roman" w:eastAsiaTheme="minorHAnsi" w:hAnsi="Times New Roman" w:cs="Times New Roman"/>
          <w:color w:val="000000" w:themeColor="text1"/>
          <w:sz w:val="24"/>
          <w:szCs w:val="24"/>
        </w:rPr>
        <w:t>t</w:t>
      </w:r>
      <w:r w:rsidRPr="00C17A28">
        <w:rPr>
          <w:rFonts w:ascii="Times New Roman" w:eastAsiaTheme="minorHAnsi" w:hAnsi="Times New Roman" w:cs="Times New Roman"/>
          <w:color w:val="000000" w:themeColor="text1"/>
          <w:sz w:val="24"/>
          <w:szCs w:val="24"/>
        </w:rPr>
        <w:t>he standard division of the income is as follows:</w:t>
      </w:r>
    </w:p>
    <w:p w14:paraId="1D69EA93" w14:textId="77777777" w:rsidR="002E1C3B" w:rsidRDefault="002E1C3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5000" w:type="pct"/>
        <w:jc w:val="center"/>
        <w:tblLook w:val="04A0" w:firstRow="1" w:lastRow="0" w:firstColumn="1" w:lastColumn="0" w:noHBand="0" w:noVBand="1"/>
      </w:tblPr>
      <w:tblGrid>
        <w:gridCol w:w="5994"/>
        <w:gridCol w:w="3248"/>
      </w:tblGrid>
      <w:tr w:rsidR="00C17A28" w:rsidRPr="00C17A28" w14:paraId="66CD60A6" w14:textId="77777777" w:rsidTr="000A6C84">
        <w:trPr>
          <w:trHeight w:val="524"/>
          <w:jc w:val="center"/>
        </w:trPr>
        <w:tc>
          <w:tcPr>
            <w:tcW w:w="5000" w:type="pct"/>
            <w:gridSpan w:val="2"/>
            <w:shd w:val="clear" w:color="auto" w:fill="F2F2F2" w:themeFill="background1" w:themeFillShade="F2"/>
            <w:vAlign w:val="center"/>
          </w:tcPr>
          <w:p w14:paraId="3C8F76CD" w14:textId="4AE3853D" w:rsidR="00356C05" w:rsidRPr="00C17A28" w:rsidRDefault="00356C05" w:rsidP="00165D6C">
            <w:pPr>
              <w:spacing w:line="276" w:lineRule="auto"/>
              <w:jc w:val="both"/>
              <w:rPr>
                <w:rFonts w:ascii="Times New Roman" w:hAnsi="Times New Roman" w:cs="Times New Roman"/>
                <w:b/>
                <w:bCs/>
                <w:color w:val="000000" w:themeColor="text1"/>
                <w:sz w:val="24"/>
                <w:szCs w:val="24"/>
              </w:rPr>
            </w:pPr>
            <w:r w:rsidRPr="00C17A28">
              <w:rPr>
                <w:rFonts w:ascii="Times New Roman" w:hAnsi="Times New Roman" w:cs="Times New Roman"/>
                <w:b/>
                <w:bCs/>
                <w:color w:val="000000" w:themeColor="text1"/>
                <w:sz w:val="24"/>
                <w:szCs w:val="24"/>
              </w:rPr>
              <w:lastRenderedPageBreak/>
              <w:t>University Consultancy</w:t>
            </w:r>
          </w:p>
        </w:tc>
      </w:tr>
      <w:tr w:rsidR="00C17A28" w:rsidRPr="00C17A28" w14:paraId="789172C8" w14:textId="77777777" w:rsidTr="000A6C84">
        <w:trPr>
          <w:trHeight w:val="524"/>
          <w:jc w:val="center"/>
        </w:trPr>
        <w:tc>
          <w:tcPr>
            <w:tcW w:w="3243" w:type="pct"/>
            <w:vAlign w:val="center"/>
          </w:tcPr>
          <w:p w14:paraId="7001B9C3" w14:textId="27466622" w:rsidR="00356C05" w:rsidRPr="00C17A28" w:rsidRDefault="00BD3932" w:rsidP="00165D6C">
            <w:pPr>
              <w:spacing w:line="276" w:lineRule="auto"/>
              <w:jc w:val="both"/>
              <w:rPr>
                <w:rFonts w:ascii="Times New Roman" w:hAnsi="Times New Roman" w:cs="Times New Roman"/>
                <w:color w:val="000000" w:themeColor="text1"/>
                <w:sz w:val="24"/>
                <w:szCs w:val="24"/>
              </w:rPr>
            </w:pPr>
            <w:r w:rsidRPr="00C17A28">
              <w:rPr>
                <w:rFonts w:ascii="TimesNewRomanPSMT" w:eastAsia="Times New Roman" w:hAnsi="TimesNewRomanPSMT" w:cs="Times New Roman"/>
                <w:color w:val="000000" w:themeColor="text1"/>
              </w:rPr>
              <w:t xml:space="preserve">Individual member of faculty/staff </w:t>
            </w:r>
          </w:p>
        </w:tc>
        <w:tc>
          <w:tcPr>
            <w:tcW w:w="1757" w:type="pct"/>
            <w:vAlign w:val="center"/>
          </w:tcPr>
          <w:p w14:paraId="0D40588B" w14:textId="2EBCF046" w:rsidR="00356C05" w:rsidRPr="00C17A28" w:rsidRDefault="00171AF1" w:rsidP="00165D6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56C05" w:rsidRPr="00C17A28">
              <w:rPr>
                <w:rFonts w:ascii="Times New Roman" w:hAnsi="Times New Roman" w:cs="Times New Roman"/>
                <w:color w:val="000000" w:themeColor="text1"/>
                <w:sz w:val="24"/>
                <w:szCs w:val="24"/>
              </w:rPr>
              <w:t>0%</w:t>
            </w:r>
          </w:p>
        </w:tc>
      </w:tr>
      <w:tr w:rsidR="00C17A28" w:rsidRPr="00C17A28" w14:paraId="3EC8DF98" w14:textId="77777777" w:rsidTr="000A6C84">
        <w:trPr>
          <w:trHeight w:val="524"/>
          <w:jc w:val="center"/>
        </w:trPr>
        <w:tc>
          <w:tcPr>
            <w:tcW w:w="3243" w:type="pct"/>
            <w:vAlign w:val="center"/>
          </w:tcPr>
          <w:p w14:paraId="7EED5BE3" w14:textId="60073BDA" w:rsidR="00356C05" w:rsidRPr="00C17A28" w:rsidRDefault="00356C05" w:rsidP="00165D6C">
            <w:pPr>
              <w:spacing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University</w:t>
            </w:r>
          </w:p>
        </w:tc>
        <w:tc>
          <w:tcPr>
            <w:tcW w:w="1757" w:type="pct"/>
            <w:vAlign w:val="center"/>
          </w:tcPr>
          <w:p w14:paraId="72EB0FC5" w14:textId="24724860" w:rsidR="00356C05" w:rsidRPr="00C17A28" w:rsidRDefault="00171AF1" w:rsidP="00165D6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56C05" w:rsidRPr="00C17A28">
              <w:rPr>
                <w:rFonts w:ascii="Times New Roman" w:hAnsi="Times New Roman" w:cs="Times New Roman"/>
                <w:color w:val="000000" w:themeColor="text1"/>
                <w:sz w:val="24"/>
                <w:szCs w:val="24"/>
              </w:rPr>
              <w:t>0%</w:t>
            </w:r>
          </w:p>
        </w:tc>
      </w:tr>
    </w:tbl>
    <w:p w14:paraId="752E035E" w14:textId="77777777" w:rsidR="006B2995" w:rsidRDefault="006B2995" w:rsidP="006B2995">
      <w:pPr>
        <w:pStyle w:val="Heading1"/>
        <w:numPr>
          <w:ilvl w:val="0"/>
          <w:numId w:val="0"/>
        </w:numPr>
        <w:spacing w:before="0" w:line="276" w:lineRule="auto"/>
        <w:ind w:left="432"/>
        <w:rPr>
          <w:rStyle w:val="fontstyle01"/>
          <w:rFonts w:ascii="Times New Roman" w:hAnsi="Times New Roman" w:cs="Times New Roman"/>
          <w:bCs w:val="0"/>
          <w:color w:val="000000" w:themeColor="text1"/>
          <w:sz w:val="28"/>
          <w:szCs w:val="28"/>
        </w:rPr>
      </w:pPr>
    </w:p>
    <w:p w14:paraId="3C09A2EF" w14:textId="7AC4AD49" w:rsidR="00A52A41" w:rsidRPr="002E1C3B" w:rsidRDefault="00A52A41" w:rsidP="006B2995">
      <w:pPr>
        <w:pStyle w:val="Heading1"/>
        <w:spacing w:before="0" w:line="276" w:lineRule="auto"/>
        <w:rPr>
          <w:rStyle w:val="fontstyle01"/>
          <w:rFonts w:ascii="Times New Roman" w:hAnsi="Times New Roman" w:cs="Times New Roman"/>
          <w:bCs w:val="0"/>
          <w:color w:val="000000" w:themeColor="text1"/>
          <w:sz w:val="28"/>
          <w:szCs w:val="28"/>
        </w:rPr>
      </w:pPr>
      <w:r w:rsidRPr="002E1C3B">
        <w:rPr>
          <w:rStyle w:val="fontstyle01"/>
          <w:rFonts w:ascii="Times New Roman" w:hAnsi="Times New Roman" w:cs="Times New Roman"/>
          <w:bCs w:val="0"/>
          <w:color w:val="000000" w:themeColor="text1"/>
          <w:sz w:val="28"/>
          <w:szCs w:val="28"/>
        </w:rPr>
        <w:t>Summary of Principles</w:t>
      </w:r>
    </w:p>
    <w:p w14:paraId="0358BB15" w14:textId="77777777" w:rsidR="002E1C3B" w:rsidRPr="002E1C3B" w:rsidRDefault="002E1C3B" w:rsidP="002E1C3B"/>
    <w:tbl>
      <w:tblPr>
        <w:tblStyle w:val="TableGrid"/>
        <w:tblW w:w="5000" w:type="pct"/>
        <w:jc w:val="center"/>
        <w:tblLook w:val="04A0" w:firstRow="1" w:lastRow="0" w:firstColumn="1" w:lastColumn="0" w:noHBand="0" w:noVBand="1"/>
      </w:tblPr>
      <w:tblGrid>
        <w:gridCol w:w="4458"/>
        <w:gridCol w:w="4784"/>
      </w:tblGrid>
      <w:tr w:rsidR="00171AF1" w:rsidRPr="00C17A28" w14:paraId="1636AA56" w14:textId="77777777" w:rsidTr="000A6C84">
        <w:trPr>
          <w:trHeight w:val="293"/>
          <w:jc w:val="center"/>
        </w:trPr>
        <w:tc>
          <w:tcPr>
            <w:tcW w:w="2412" w:type="pct"/>
            <w:shd w:val="clear" w:color="auto" w:fill="F2F2F2" w:themeFill="background1" w:themeFillShade="F2"/>
            <w:vAlign w:val="center"/>
          </w:tcPr>
          <w:p w14:paraId="20909E3F" w14:textId="77777777" w:rsidR="00171AF1" w:rsidRPr="00C17A28" w:rsidRDefault="00171AF1" w:rsidP="00165D6C">
            <w:pPr>
              <w:spacing w:line="276" w:lineRule="auto"/>
              <w:rPr>
                <w:rFonts w:ascii="Times New Roman" w:hAnsi="Times New Roman" w:cs="Times New Roman"/>
                <w:color w:val="000000" w:themeColor="text1"/>
                <w:sz w:val="24"/>
                <w:szCs w:val="24"/>
              </w:rPr>
            </w:pPr>
          </w:p>
        </w:tc>
        <w:tc>
          <w:tcPr>
            <w:tcW w:w="2588" w:type="pct"/>
            <w:shd w:val="clear" w:color="auto" w:fill="F2F2F2" w:themeFill="background1" w:themeFillShade="F2"/>
            <w:vAlign w:val="center"/>
          </w:tcPr>
          <w:p w14:paraId="67138EDB" w14:textId="48064BDA" w:rsidR="00171AF1" w:rsidRPr="00C17A28" w:rsidRDefault="00171AF1" w:rsidP="00165D6C">
            <w:pPr>
              <w:spacing w:line="276" w:lineRule="auto"/>
              <w:jc w:val="center"/>
              <w:rPr>
                <w:rFonts w:ascii="Times New Roman" w:hAnsi="Times New Roman" w:cs="Times New Roman"/>
                <w:b/>
                <w:bCs/>
                <w:color w:val="000000" w:themeColor="text1"/>
                <w:sz w:val="24"/>
                <w:szCs w:val="24"/>
              </w:rPr>
            </w:pPr>
            <w:r w:rsidRPr="00C17A28">
              <w:rPr>
                <w:rFonts w:ascii="Times New Roman" w:hAnsi="Times New Roman" w:cs="Times New Roman"/>
                <w:b/>
                <w:bCs/>
                <w:color w:val="000000" w:themeColor="text1"/>
                <w:sz w:val="24"/>
                <w:szCs w:val="24"/>
              </w:rPr>
              <w:t>University Consultancy</w:t>
            </w:r>
          </w:p>
        </w:tc>
      </w:tr>
      <w:tr w:rsidR="00171AF1" w:rsidRPr="00C17A28" w14:paraId="77A174CB" w14:textId="77777777" w:rsidTr="000A6C84">
        <w:trPr>
          <w:trHeight w:val="605"/>
          <w:jc w:val="center"/>
        </w:trPr>
        <w:tc>
          <w:tcPr>
            <w:tcW w:w="2412" w:type="pct"/>
            <w:vAlign w:val="center"/>
          </w:tcPr>
          <w:p w14:paraId="30B1DB04" w14:textId="77777777" w:rsidR="00171AF1" w:rsidRDefault="00171AF1" w:rsidP="00165D6C">
            <w:pPr>
              <w:spacing w:line="276" w:lineRule="auto"/>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Head of Department and ORIC permission obligatory</w:t>
            </w:r>
          </w:p>
          <w:p w14:paraId="4A3163A8" w14:textId="15B99588" w:rsidR="00165D6C" w:rsidRPr="00C17A28" w:rsidRDefault="00165D6C" w:rsidP="00165D6C">
            <w:pPr>
              <w:spacing w:line="276" w:lineRule="auto"/>
              <w:rPr>
                <w:rFonts w:ascii="Times New Roman" w:hAnsi="Times New Roman" w:cs="Times New Roman"/>
                <w:color w:val="000000" w:themeColor="text1"/>
                <w:sz w:val="24"/>
                <w:szCs w:val="24"/>
              </w:rPr>
            </w:pPr>
          </w:p>
        </w:tc>
        <w:tc>
          <w:tcPr>
            <w:tcW w:w="2588" w:type="pct"/>
            <w:vAlign w:val="center"/>
          </w:tcPr>
          <w:p w14:paraId="63C909A2" w14:textId="3DC35714" w:rsidR="00171AF1" w:rsidRPr="00C17A28" w:rsidRDefault="00171AF1" w:rsidP="00165D6C">
            <w:pPr>
              <w:spacing w:line="276" w:lineRule="auto"/>
              <w:jc w:val="center"/>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Yes</w:t>
            </w:r>
          </w:p>
        </w:tc>
      </w:tr>
      <w:tr w:rsidR="00171AF1" w:rsidRPr="00C17A28" w14:paraId="3B94452A" w14:textId="77777777" w:rsidTr="000A6C84">
        <w:trPr>
          <w:trHeight w:val="884"/>
          <w:jc w:val="center"/>
        </w:trPr>
        <w:tc>
          <w:tcPr>
            <w:tcW w:w="2412" w:type="pct"/>
            <w:vAlign w:val="center"/>
          </w:tcPr>
          <w:p w14:paraId="080A98CB" w14:textId="1639157D" w:rsidR="00171AF1" w:rsidRPr="00C17A28" w:rsidRDefault="00171AF1" w:rsidP="00165D6C">
            <w:pPr>
              <w:spacing w:line="276" w:lineRule="auto"/>
              <w:rPr>
                <w:rFonts w:ascii="Times New Roman" w:hAnsi="Times New Roman" w:cs="Times New Roman"/>
                <w:color w:val="000000" w:themeColor="text1"/>
                <w:sz w:val="24"/>
                <w:szCs w:val="24"/>
              </w:rPr>
            </w:pPr>
            <w:r w:rsidRPr="00C17A28">
              <w:rPr>
                <w:rFonts w:ascii="Times New Roman" w:eastAsia="Times New Roman" w:hAnsi="Times New Roman" w:cs="Times New Roman"/>
                <w:color w:val="000000" w:themeColor="text1"/>
                <w:sz w:val="24"/>
                <w:szCs w:val="24"/>
              </w:rPr>
              <w:t>Declaration of interests required</w:t>
            </w:r>
            <w:r w:rsidRPr="00C17A28">
              <w:rPr>
                <w:rFonts w:ascii="Times New Roman" w:eastAsia="Times New Roman" w:hAnsi="Times New Roman" w:cs="Times New Roman"/>
                <w:color w:val="000000" w:themeColor="text1"/>
                <w:sz w:val="24"/>
                <w:szCs w:val="24"/>
              </w:rPr>
              <w:br/>
            </w:r>
          </w:p>
        </w:tc>
        <w:tc>
          <w:tcPr>
            <w:tcW w:w="2588" w:type="pct"/>
            <w:vAlign w:val="center"/>
          </w:tcPr>
          <w:p w14:paraId="19945FC4" w14:textId="6CAADE3B" w:rsidR="00171AF1" w:rsidRPr="00C17A28" w:rsidRDefault="00171AF1" w:rsidP="00165D6C">
            <w:pPr>
              <w:spacing w:line="276" w:lineRule="auto"/>
              <w:jc w:val="center"/>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Yes</w:t>
            </w:r>
          </w:p>
        </w:tc>
      </w:tr>
      <w:tr w:rsidR="00171AF1" w:rsidRPr="00C17A28" w14:paraId="4154BEA0" w14:textId="77777777" w:rsidTr="000A6C84">
        <w:trPr>
          <w:trHeight w:val="902"/>
          <w:jc w:val="center"/>
        </w:trPr>
        <w:tc>
          <w:tcPr>
            <w:tcW w:w="2412" w:type="pct"/>
            <w:vAlign w:val="center"/>
          </w:tcPr>
          <w:p w14:paraId="422E2EE7" w14:textId="11687BB9" w:rsidR="00171AF1" w:rsidRPr="00C17A28" w:rsidRDefault="00171AF1" w:rsidP="00165D6C">
            <w:pPr>
              <w:spacing w:line="276" w:lineRule="auto"/>
              <w:rPr>
                <w:rFonts w:ascii="Times New Roman" w:hAnsi="Times New Roman" w:cs="Times New Roman"/>
                <w:color w:val="000000" w:themeColor="text1"/>
                <w:sz w:val="24"/>
                <w:szCs w:val="24"/>
              </w:rPr>
            </w:pPr>
            <w:r w:rsidRPr="00C17A28">
              <w:rPr>
                <w:rFonts w:ascii="Times New Roman" w:eastAsia="Times New Roman" w:hAnsi="Times New Roman" w:cs="Times New Roman"/>
                <w:color w:val="000000" w:themeColor="text1"/>
                <w:sz w:val="24"/>
                <w:szCs w:val="24"/>
              </w:rPr>
              <w:t>Use of University name,</w:t>
            </w:r>
            <w:r w:rsidRPr="00C17A28">
              <w:rPr>
                <w:rFonts w:ascii="Times New Roman" w:eastAsia="Times New Roman" w:hAnsi="Times New Roman" w:cs="Times New Roman"/>
                <w:color w:val="000000" w:themeColor="text1"/>
                <w:sz w:val="24"/>
                <w:szCs w:val="24"/>
              </w:rPr>
              <w:br/>
              <w:t>equipment, facilities</w:t>
            </w:r>
            <w:r w:rsidRPr="00C17A28">
              <w:rPr>
                <w:rFonts w:ascii="Times New Roman" w:eastAsia="Times New Roman" w:hAnsi="Times New Roman" w:cs="Times New Roman"/>
                <w:color w:val="000000" w:themeColor="text1"/>
                <w:sz w:val="24"/>
                <w:szCs w:val="24"/>
              </w:rPr>
              <w:br/>
            </w:r>
          </w:p>
        </w:tc>
        <w:tc>
          <w:tcPr>
            <w:tcW w:w="2588" w:type="pct"/>
            <w:vAlign w:val="center"/>
          </w:tcPr>
          <w:p w14:paraId="00CA3B2C" w14:textId="75FCC0FE" w:rsidR="00171AF1" w:rsidRPr="00C17A28" w:rsidRDefault="00171AF1" w:rsidP="00165D6C">
            <w:pPr>
              <w:spacing w:line="276" w:lineRule="auto"/>
              <w:jc w:val="center"/>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Yes</w:t>
            </w:r>
          </w:p>
        </w:tc>
      </w:tr>
      <w:tr w:rsidR="00171AF1" w:rsidRPr="00C17A28" w14:paraId="6AAA4ABB" w14:textId="77777777" w:rsidTr="000A6C84">
        <w:trPr>
          <w:trHeight w:val="902"/>
          <w:jc w:val="center"/>
        </w:trPr>
        <w:tc>
          <w:tcPr>
            <w:tcW w:w="2412" w:type="pct"/>
            <w:vAlign w:val="center"/>
          </w:tcPr>
          <w:p w14:paraId="6B21D025" w14:textId="57056E8B" w:rsidR="00171AF1" w:rsidRPr="00C17A28" w:rsidRDefault="00171AF1" w:rsidP="00165D6C">
            <w:pPr>
              <w:spacing w:line="276" w:lineRule="auto"/>
              <w:rPr>
                <w:rFonts w:ascii="Times New Roman" w:hAnsi="Times New Roman" w:cs="Times New Roman"/>
                <w:color w:val="000000" w:themeColor="text1"/>
                <w:sz w:val="24"/>
                <w:szCs w:val="24"/>
              </w:rPr>
            </w:pPr>
            <w:r w:rsidRPr="00C17A28">
              <w:rPr>
                <w:rFonts w:ascii="Times New Roman" w:eastAsia="Times New Roman" w:hAnsi="Times New Roman" w:cs="Times New Roman"/>
                <w:color w:val="000000" w:themeColor="text1"/>
                <w:sz w:val="24"/>
                <w:szCs w:val="24"/>
              </w:rPr>
              <w:t>Permitted working days</w:t>
            </w:r>
            <w:r w:rsidRPr="00C17A28">
              <w:rPr>
                <w:rFonts w:ascii="Times New Roman" w:eastAsia="Times New Roman" w:hAnsi="Times New Roman" w:cs="Times New Roman"/>
                <w:color w:val="000000" w:themeColor="text1"/>
                <w:sz w:val="24"/>
                <w:szCs w:val="24"/>
              </w:rPr>
              <w:br/>
            </w:r>
          </w:p>
        </w:tc>
        <w:tc>
          <w:tcPr>
            <w:tcW w:w="2588" w:type="pct"/>
            <w:vAlign w:val="center"/>
          </w:tcPr>
          <w:p w14:paraId="0B3B1B59" w14:textId="1E15355C" w:rsidR="00171AF1" w:rsidRPr="00C17A28" w:rsidRDefault="00171AF1" w:rsidP="00165D6C">
            <w:pPr>
              <w:spacing w:line="276" w:lineRule="auto"/>
              <w:jc w:val="both"/>
              <w:rPr>
                <w:rFonts w:ascii="Times New Roman" w:hAnsi="Times New Roman" w:cs="Times New Roman"/>
                <w:color w:val="000000" w:themeColor="text1"/>
                <w:sz w:val="24"/>
                <w:szCs w:val="24"/>
              </w:rPr>
            </w:pPr>
            <w:r w:rsidRPr="00C17A28">
              <w:rPr>
                <w:rFonts w:ascii="Times New Roman" w:hAnsi="Times New Roman" w:cs="Times New Roman"/>
                <w:color w:val="000000" w:themeColor="text1"/>
                <w:sz w:val="24"/>
                <w:szCs w:val="24"/>
              </w:rPr>
              <w:t>30 days per annum (Can be extended by prior approval from VC)</w:t>
            </w:r>
          </w:p>
        </w:tc>
      </w:tr>
    </w:tbl>
    <w:p w14:paraId="1F06C7DD" w14:textId="77777777" w:rsidR="006366EC" w:rsidRPr="00C17A28" w:rsidRDefault="006366EC" w:rsidP="00165D6C">
      <w:pPr>
        <w:spacing w:line="276" w:lineRule="auto"/>
        <w:rPr>
          <w:rFonts w:ascii="Times New Roman" w:hAnsi="Times New Roman" w:cs="Times New Roman"/>
          <w:color w:val="000000" w:themeColor="text1"/>
          <w:sz w:val="24"/>
          <w:szCs w:val="24"/>
        </w:rPr>
      </w:pPr>
    </w:p>
    <w:sectPr w:rsidR="006366EC" w:rsidRPr="00C17A28" w:rsidSect="00AC027C">
      <w:pgSz w:w="11906" w:h="16838"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18DE" w14:textId="77777777" w:rsidR="00DC6CEB" w:rsidRDefault="00DC6CEB" w:rsidP="00AF69E6">
      <w:pPr>
        <w:spacing w:after="0" w:line="240" w:lineRule="auto"/>
      </w:pPr>
      <w:r>
        <w:separator/>
      </w:r>
    </w:p>
  </w:endnote>
  <w:endnote w:type="continuationSeparator" w:id="0">
    <w:p w14:paraId="2FAD62E1" w14:textId="77777777" w:rsidR="00DC6CEB" w:rsidRDefault="00DC6CEB" w:rsidP="00AF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CEE4" w14:textId="77777777" w:rsidR="00DC6CEB" w:rsidRDefault="00DC6CEB" w:rsidP="00AF69E6">
      <w:pPr>
        <w:spacing w:after="0" w:line="240" w:lineRule="auto"/>
      </w:pPr>
      <w:r>
        <w:separator/>
      </w:r>
    </w:p>
  </w:footnote>
  <w:footnote w:type="continuationSeparator" w:id="0">
    <w:p w14:paraId="0B974CAA" w14:textId="77777777" w:rsidR="00DC6CEB" w:rsidRDefault="00DC6CEB" w:rsidP="00AF6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A30"/>
    <w:multiLevelType w:val="hybridMultilevel"/>
    <w:tmpl w:val="A12C88DC"/>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ED82804"/>
    <w:multiLevelType w:val="hybridMultilevel"/>
    <w:tmpl w:val="955EC4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83036"/>
    <w:multiLevelType w:val="multilevel"/>
    <w:tmpl w:val="8FB0DAF2"/>
    <w:lvl w:ilvl="0">
      <w:start w:val="1"/>
      <w:numFmt w:val="decimal"/>
      <w:pStyle w:val="Heading1"/>
      <w:lvlText w:val="%1"/>
      <w:lvlJc w:val="left"/>
      <w:pPr>
        <w:ind w:left="432" w:hanging="432"/>
      </w:pPr>
      <w:rPr>
        <w:rFonts w:hint="default"/>
        <w:b/>
        <w:bCs/>
        <w:color w:val="00000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bullet"/>
      <w:pStyle w:val="Heading4"/>
      <w:lvlText w:val=""/>
      <w:lvlJc w:val="left"/>
      <w:pPr>
        <w:ind w:left="864" w:hanging="864"/>
      </w:pPr>
      <w:rPr>
        <w:rFonts w:ascii="Symbol" w:hAnsi="Symbol"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C8672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24A1EE4"/>
    <w:multiLevelType w:val="hybridMultilevel"/>
    <w:tmpl w:val="75385A5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3FE16E1B"/>
    <w:multiLevelType w:val="hybridMultilevel"/>
    <w:tmpl w:val="DBCCAFB6"/>
    <w:lvl w:ilvl="0" w:tplc="49F6BC46">
      <w:start w:val="1"/>
      <w:numFmt w:val="lowerLetter"/>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3F01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447ECF"/>
    <w:multiLevelType w:val="hybridMultilevel"/>
    <w:tmpl w:val="1BB095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2A68E2"/>
    <w:multiLevelType w:val="hybridMultilevel"/>
    <w:tmpl w:val="0C96264A"/>
    <w:lvl w:ilvl="0" w:tplc="04090019">
      <w:start w:val="1"/>
      <w:numFmt w:val="lowerLetter"/>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2"/>
  </w:num>
  <w:num w:numId="7">
    <w:abstractNumId w:val="2"/>
  </w:num>
  <w:num w:numId="8">
    <w:abstractNumId w:val="6"/>
  </w:num>
  <w:num w:numId="9">
    <w:abstractNumId w:val="3"/>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F8"/>
    <w:rsid w:val="000A6C84"/>
    <w:rsid w:val="000D1104"/>
    <w:rsid w:val="000D2EA4"/>
    <w:rsid w:val="00111BBB"/>
    <w:rsid w:val="00165D6C"/>
    <w:rsid w:val="00171AF1"/>
    <w:rsid w:val="001857EC"/>
    <w:rsid w:val="00190D44"/>
    <w:rsid w:val="00193350"/>
    <w:rsid w:val="001D1BF8"/>
    <w:rsid w:val="00255A51"/>
    <w:rsid w:val="002722B0"/>
    <w:rsid w:val="00280AE1"/>
    <w:rsid w:val="002B6A16"/>
    <w:rsid w:val="002D0D51"/>
    <w:rsid w:val="002E1C3B"/>
    <w:rsid w:val="0033362B"/>
    <w:rsid w:val="0034578C"/>
    <w:rsid w:val="00356C05"/>
    <w:rsid w:val="00361A83"/>
    <w:rsid w:val="003645E5"/>
    <w:rsid w:val="00403BBE"/>
    <w:rsid w:val="00417F07"/>
    <w:rsid w:val="00422DC2"/>
    <w:rsid w:val="004357D4"/>
    <w:rsid w:val="004C4360"/>
    <w:rsid w:val="004E3D87"/>
    <w:rsid w:val="0053138C"/>
    <w:rsid w:val="0054338A"/>
    <w:rsid w:val="005539F9"/>
    <w:rsid w:val="005F3FF8"/>
    <w:rsid w:val="005F65F3"/>
    <w:rsid w:val="006366EC"/>
    <w:rsid w:val="00651543"/>
    <w:rsid w:val="00696D15"/>
    <w:rsid w:val="006B2995"/>
    <w:rsid w:val="006E3334"/>
    <w:rsid w:val="00772012"/>
    <w:rsid w:val="007E473F"/>
    <w:rsid w:val="00803104"/>
    <w:rsid w:val="0085402A"/>
    <w:rsid w:val="008E677E"/>
    <w:rsid w:val="00916FD0"/>
    <w:rsid w:val="00946834"/>
    <w:rsid w:val="009778A2"/>
    <w:rsid w:val="009969FF"/>
    <w:rsid w:val="009A42FA"/>
    <w:rsid w:val="009A4D15"/>
    <w:rsid w:val="009D4465"/>
    <w:rsid w:val="00A441C7"/>
    <w:rsid w:val="00A52A41"/>
    <w:rsid w:val="00AA4A89"/>
    <w:rsid w:val="00AC027C"/>
    <w:rsid w:val="00AE4460"/>
    <w:rsid w:val="00AF69E6"/>
    <w:rsid w:val="00BD3932"/>
    <w:rsid w:val="00C17A28"/>
    <w:rsid w:val="00C365D0"/>
    <w:rsid w:val="00D06C3C"/>
    <w:rsid w:val="00D5459C"/>
    <w:rsid w:val="00D71009"/>
    <w:rsid w:val="00DA5D6B"/>
    <w:rsid w:val="00DC6CEB"/>
    <w:rsid w:val="00E06A7F"/>
    <w:rsid w:val="00E3433D"/>
    <w:rsid w:val="00E43431"/>
    <w:rsid w:val="00E93DCB"/>
    <w:rsid w:val="00EB0F1B"/>
    <w:rsid w:val="00ED321D"/>
    <w:rsid w:val="00EE74E6"/>
    <w:rsid w:val="00F63957"/>
    <w:rsid w:val="00F664FD"/>
    <w:rsid w:val="00F705F8"/>
    <w:rsid w:val="00FA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D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6E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6E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6E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66E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366E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66E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66E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66E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66E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66EC"/>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6366EC"/>
    <w:pPr>
      <w:ind w:left="720"/>
      <w:contextualSpacing/>
    </w:pPr>
  </w:style>
  <w:style w:type="character" w:customStyle="1" w:styleId="Heading1Char">
    <w:name w:val="Heading 1 Char"/>
    <w:basedOn w:val="DefaultParagraphFont"/>
    <w:link w:val="Heading1"/>
    <w:uiPriority w:val="9"/>
    <w:rsid w:val="006366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6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6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366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366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66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66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66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66EC"/>
    <w:rPr>
      <w:rFonts w:asciiTheme="majorHAnsi" w:eastAsiaTheme="majorEastAsia" w:hAnsiTheme="majorHAnsi" w:cstheme="majorBidi"/>
      <w:i/>
      <w:iCs/>
      <w:color w:val="272727" w:themeColor="text1" w:themeTint="D8"/>
      <w:sz w:val="21"/>
      <w:szCs w:val="21"/>
    </w:rPr>
  </w:style>
  <w:style w:type="character" w:customStyle="1" w:styleId="fontstyle21">
    <w:name w:val="fontstyle21"/>
    <w:basedOn w:val="DefaultParagraphFont"/>
    <w:rsid w:val="00EE74E6"/>
    <w:rPr>
      <w:rFonts w:ascii="Calibri-Italic" w:hAnsi="Calibri-Italic" w:hint="default"/>
      <w:b w:val="0"/>
      <w:bCs w:val="0"/>
      <w:i/>
      <w:iCs/>
      <w:color w:val="000000"/>
      <w:sz w:val="22"/>
      <w:szCs w:val="22"/>
    </w:rPr>
  </w:style>
  <w:style w:type="table" w:styleId="TableGrid">
    <w:name w:val="Table Grid"/>
    <w:basedOn w:val="TableNormal"/>
    <w:uiPriority w:val="39"/>
    <w:rsid w:val="0035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E6"/>
  </w:style>
  <w:style w:type="paragraph" w:styleId="Footer">
    <w:name w:val="footer"/>
    <w:basedOn w:val="Normal"/>
    <w:link w:val="FooterChar"/>
    <w:uiPriority w:val="99"/>
    <w:unhideWhenUsed/>
    <w:rsid w:val="00AF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E6"/>
  </w:style>
  <w:style w:type="character" w:styleId="Hyperlink">
    <w:name w:val="Hyperlink"/>
    <w:basedOn w:val="DefaultParagraphFont"/>
    <w:uiPriority w:val="99"/>
    <w:unhideWhenUsed/>
    <w:rsid w:val="00AF69E6"/>
    <w:rPr>
      <w:color w:val="0563C1" w:themeColor="hyperlink"/>
      <w:u w:val="single"/>
    </w:rPr>
  </w:style>
  <w:style w:type="paragraph" w:styleId="TOCHeading">
    <w:name w:val="TOC Heading"/>
    <w:basedOn w:val="Heading1"/>
    <w:next w:val="Normal"/>
    <w:uiPriority w:val="39"/>
    <w:unhideWhenUsed/>
    <w:qFormat/>
    <w:rsid w:val="005F65F3"/>
    <w:pPr>
      <w:numPr>
        <w:numId w:val="0"/>
      </w:numPr>
      <w:outlineLvl w:val="9"/>
    </w:pPr>
  </w:style>
  <w:style w:type="paragraph" w:styleId="TOC1">
    <w:name w:val="toc 1"/>
    <w:basedOn w:val="Normal"/>
    <w:next w:val="Normal"/>
    <w:autoRedefine/>
    <w:uiPriority w:val="39"/>
    <w:unhideWhenUsed/>
    <w:rsid w:val="005F65F3"/>
    <w:pPr>
      <w:spacing w:after="100"/>
    </w:pPr>
  </w:style>
  <w:style w:type="paragraph" w:styleId="TOC2">
    <w:name w:val="toc 2"/>
    <w:basedOn w:val="Normal"/>
    <w:next w:val="Normal"/>
    <w:autoRedefine/>
    <w:uiPriority w:val="39"/>
    <w:unhideWhenUsed/>
    <w:rsid w:val="005F65F3"/>
    <w:pPr>
      <w:spacing w:after="100"/>
      <w:ind w:left="220"/>
    </w:pPr>
  </w:style>
  <w:style w:type="paragraph" w:styleId="TOC3">
    <w:name w:val="toc 3"/>
    <w:basedOn w:val="Normal"/>
    <w:next w:val="Normal"/>
    <w:autoRedefine/>
    <w:uiPriority w:val="39"/>
    <w:unhideWhenUsed/>
    <w:rsid w:val="005F65F3"/>
    <w:pPr>
      <w:spacing w:after="100"/>
      <w:ind w:left="440"/>
    </w:pPr>
  </w:style>
  <w:style w:type="paragraph" w:styleId="BalloonText">
    <w:name w:val="Balloon Text"/>
    <w:basedOn w:val="Normal"/>
    <w:link w:val="BalloonTextChar"/>
    <w:uiPriority w:val="99"/>
    <w:semiHidden/>
    <w:unhideWhenUsed/>
    <w:rsid w:val="0040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6E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6E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6E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66E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366E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66E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66E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66E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66E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66EC"/>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6366EC"/>
    <w:pPr>
      <w:ind w:left="720"/>
      <w:contextualSpacing/>
    </w:pPr>
  </w:style>
  <w:style w:type="character" w:customStyle="1" w:styleId="Heading1Char">
    <w:name w:val="Heading 1 Char"/>
    <w:basedOn w:val="DefaultParagraphFont"/>
    <w:link w:val="Heading1"/>
    <w:uiPriority w:val="9"/>
    <w:rsid w:val="006366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6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6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366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366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66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66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66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66EC"/>
    <w:rPr>
      <w:rFonts w:asciiTheme="majorHAnsi" w:eastAsiaTheme="majorEastAsia" w:hAnsiTheme="majorHAnsi" w:cstheme="majorBidi"/>
      <w:i/>
      <w:iCs/>
      <w:color w:val="272727" w:themeColor="text1" w:themeTint="D8"/>
      <w:sz w:val="21"/>
      <w:szCs w:val="21"/>
    </w:rPr>
  </w:style>
  <w:style w:type="character" w:customStyle="1" w:styleId="fontstyle21">
    <w:name w:val="fontstyle21"/>
    <w:basedOn w:val="DefaultParagraphFont"/>
    <w:rsid w:val="00EE74E6"/>
    <w:rPr>
      <w:rFonts w:ascii="Calibri-Italic" w:hAnsi="Calibri-Italic" w:hint="default"/>
      <w:b w:val="0"/>
      <w:bCs w:val="0"/>
      <w:i/>
      <w:iCs/>
      <w:color w:val="000000"/>
      <w:sz w:val="22"/>
      <w:szCs w:val="22"/>
    </w:rPr>
  </w:style>
  <w:style w:type="table" w:styleId="TableGrid">
    <w:name w:val="Table Grid"/>
    <w:basedOn w:val="TableNormal"/>
    <w:uiPriority w:val="39"/>
    <w:rsid w:val="00356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E6"/>
  </w:style>
  <w:style w:type="paragraph" w:styleId="Footer">
    <w:name w:val="footer"/>
    <w:basedOn w:val="Normal"/>
    <w:link w:val="FooterChar"/>
    <w:uiPriority w:val="99"/>
    <w:unhideWhenUsed/>
    <w:rsid w:val="00AF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E6"/>
  </w:style>
  <w:style w:type="character" w:styleId="Hyperlink">
    <w:name w:val="Hyperlink"/>
    <w:basedOn w:val="DefaultParagraphFont"/>
    <w:uiPriority w:val="99"/>
    <w:unhideWhenUsed/>
    <w:rsid w:val="00AF69E6"/>
    <w:rPr>
      <w:color w:val="0563C1" w:themeColor="hyperlink"/>
      <w:u w:val="single"/>
    </w:rPr>
  </w:style>
  <w:style w:type="paragraph" w:styleId="TOCHeading">
    <w:name w:val="TOC Heading"/>
    <w:basedOn w:val="Heading1"/>
    <w:next w:val="Normal"/>
    <w:uiPriority w:val="39"/>
    <w:unhideWhenUsed/>
    <w:qFormat/>
    <w:rsid w:val="005F65F3"/>
    <w:pPr>
      <w:numPr>
        <w:numId w:val="0"/>
      </w:numPr>
      <w:outlineLvl w:val="9"/>
    </w:pPr>
  </w:style>
  <w:style w:type="paragraph" w:styleId="TOC1">
    <w:name w:val="toc 1"/>
    <w:basedOn w:val="Normal"/>
    <w:next w:val="Normal"/>
    <w:autoRedefine/>
    <w:uiPriority w:val="39"/>
    <w:unhideWhenUsed/>
    <w:rsid w:val="005F65F3"/>
    <w:pPr>
      <w:spacing w:after="100"/>
    </w:pPr>
  </w:style>
  <w:style w:type="paragraph" w:styleId="TOC2">
    <w:name w:val="toc 2"/>
    <w:basedOn w:val="Normal"/>
    <w:next w:val="Normal"/>
    <w:autoRedefine/>
    <w:uiPriority w:val="39"/>
    <w:unhideWhenUsed/>
    <w:rsid w:val="005F65F3"/>
    <w:pPr>
      <w:spacing w:after="100"/>
      <w:ind w:left="220"/>
    </w:pPr>
  </w:style>
  <w:style w:type="paragraph" w:styleId="TOC3">
    <w:name w:val="toc 3"/>
    <w:basedOn w:val="Normal"/>
    <w:next w:val="Normal"/>
    <w:autoRedefine/>
    <w:uiPriority w:val="39"/>
    <w:unhideWhenUsed/>
    <w:rsid w:val="005F65F3"/>
    <w:pPr>
      <w:spacing w:after="100"/>
      <w:ind w:left="440"/>
    </w:pPr>
  </w:style>
  <w:style w:type="paragraph" w:styleId="BalloonText">
    <w:name w:val="Balloon Text"/>
    <w:basedOn w:val="Normal"/>
    <w:link w:val="BalloonTextChar"/>
    <w:uiPriority w:val="99"/>
    <w:semiHidden/>
    <w:unhideWhenUsed/>
    <w:rsid w:val="0040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2334">
      <w:bodyDiv w:val="1"/>
      <w:marLeft w:val="0"/>
      <w:marRight w:val="0"/>
      <w:marTop w:val="0"/>
      <w:marBottom w:val="0"/>
      <w:divBdr>
        <w:top w:val="none" w:sz="0" w:space="0" w:color="auto"/>
        <w:left w:val="none" w:sz="0" w:space="0" w:color="auto"/>
        <w:bottom w:val="none" w:sz="0" w:space="0" w:color="auto"/>
        <w:right w:val="none" w:sz="0" w:space="0" w:color="auto"/>
      </w:divBdr>
    </w:div>
    <w:div w:id="793910166">
      <w:bodyDiv w:val="1"/>
      <w:marLeft w:val="0"/>
      <w:marRight w:val="0"/>
      <w:marTop w:val="0"/>
      <w:marBottom w:val="0"/>
      <w:divBdr>
        <w:top w:val="none" w:sz="0" w:space="0" w:color="auto"/>
        <w:left w:val="none" w:sz="0" w:space="0" w:color="auto"/>
        <w:bottom w:val="none" w:sz="0" w:space="0" w:color="auto"/>
        <w:right w:val="none" w:sz="0" w:space="0" w:color="auto"/>
      </w:divBdr>
    </w:div>
    <w:div w:id="1403218553">
      <w:bodyDiv w:val="1"/>
      <w:marLeft w:val="0"/>
      <w:marRight w:val="0"/>
      <w:marTop w:val="0"/>
      <w:marBottom w:val="0"/>
      <w:divBdr>
        <w:top w:val="none" w:sz="0" w:space="0" w:color="auto"/>
        <w:left w:val="none" w:sz="0" w:space="0" w:color="auto"/>
        <w:bottom w:val="none" w:sz="0" w:space="0" w:color="auto"/>
        <w:right w:val="none" w:sz="0" w:space="0" w:color="auto"/>
      </w:divBdr>
    </w:div>
    <w:div w:id="20923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A67F-347C-4F9F-B2BB-1C4E8742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farhan1</dc:creator>
  <cp:keywords/>
  <dc:description/>
  <cp:lastModifiedBy>Muhammad Waqas Tahir</cp:lastModifiedBy>
  <cp:revision>46</cp:revision>
  <cp:lastPrinted>2019-11-11T09:35:00Z</cp:lastPrinted>
  <dcterms:created xsi:type="dcterms:W3CDTF">2019-07-30T05:36:00Z</dcterms:created>
  <dcterms:modified xsi:type="dcterms:W3CDTF">2019-11-11T09:35:00Z</dcterms:modified>
</cp:coreProperties>
</file>